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2"/>
        <w:spacing w:before="0" w:after="0"/>
        <w:contextualSpacing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ДОВЕРЕННОСТЬ № </w:t>
      </w:r>
      <w:r>
        <w:rPr>
          <w:rFonts w:cs="Times New Roman" w:ascii="Times New Roman" w:hAnsi="Times New Roman"/>
          <w:b/>
          <w:bCs/>
          <w:sz w:val="32"/>
          <w:szCs w:val="32"/>
          <w:highlight w:val="yellow"/>
        </w:rPr>
        <w:t>Доверенность.Номер</w:t>
      </w:r>
    </w:p>
    <w:p>
      <w:pPr>
        <w:pStyle w:val="Style12"/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2"/>
        <w:spacing w:before="0" w:after="0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Доверенность.Дата_Совершения.Числовой</w:t>
      </w:r>
    </w:p>
    <w:p>
      <w:pPr>
        <w:pStyle w:val="Style12"/>
        <w:spacing w:before="0" w:after="0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ind w:firstLine="709"/>
        <w:jc w:val="both"/>
        <w:rPr/>
      </w:pPr>
      <w:r>
        <w:rPr>
          <w:highlight w:val="yellow"/>
        </w:rPr>
        <w:t>ООО_Ромашка.Фирменное_Наименование.Полное.Именительный</w:t>
      </w:r>
      <w:r>
        <w:rPr/>
        <w:t xml:space="preserve"> (далее — </w:t>
      </w:r>
      <w:r>
        <w:rPr>
          <w:b w:val="false"/>
          <w:bCs w:val="false"/>
        </w:rPr>
        <w:t>«Общество»)</w:t>
      </w:r>
      <w:r>
        <w:rPr/>
        <w:t xml:space="preserve"> в лице </w:t>
      </w:r>
      <w:r>
        <w:rPr>
          <w:highlight w:val="yellow"/>
        </w:rPr>
        <w:t>ООО_Ромашка.Руководитель.Должность.Родительный</w:t>
      </w:r>
      <w:r>
        <w:rPr/>
        <w:t xml:space="preserve"> </w:t>
      </w:r>
      <w:r>
        <w:rPr>
          <w:highlight w:val="yellow"/>
        </w:rPr>
        <w:t>ООО_Ромашка.Руководитель.ФИО.Сокращенные.Родительный</w:t>
      </w:r>
      <w:r>
        <w:rPr/>
        <w:t xml:space="preserve">, действующего на основании </w:t>
      </w:r>
      <w:r>
        <w:rPr>
          <w:highlight w:val="yellow"/>
        </w:rPr>
        <w:t>ООО_Ромашка.Руководитель.Основание_Полномочий.Родительный</w:t>
      </w:r>
      <w:r>
        <w:rPr/>
        <w:t>, настоящей доверенностью уполномочивает</w:t>
      </w:r>
    </w:p>
    <w:p>
      <w:pPr>
        <w:pStyle w:val="Normal"/>
        <w:ind w:firstLine="567"/>
        <w:jc w:val="both"/>
        <w:rPr/>
      </w:pPr>
      <w:r>
        <w:rPr>
          <w:highlight w:val="yellow"/>
        </w:rPr>
        <w:t xml:space="preserve">Петров_П_П.ФИО.Полные.Винительный </w:t>
      </w:r>
      <w:r>
        <w:rPr/>
        <w:t>(</w:t>
      </w:r>
      <w:r>
        <w:rPr>
          <w:highlight w:val="yellow"/>
        </w:rPr>
        <w:t>Петров_П_П.Документ_Удостоверяющий_Личность.Наименование.Именительный</w:t>
      </w:r>
      <w:r>
        <w:rPr/>
        <w:t xml:space="preserve"> </w:t>
      </w:r>
      <w:r>
        <w:rPr>
          <w:highlight w:val="yellow"/>
        </w:rPr>
        <w:t>Петров_П_П.Документ_Удостоверяющий_Личность.Идентификационные_Данные</w:t>
      </w:r>
      <w:r>
        <w:rPr/>
        <w:t xml:space="preserve">, дата выдачи </w:t>
      </w:r>
      <w:r>
        <w:rPr>
          <w:highlight w:val="yellow"/>
        </w:rPr>
        <w:t>Петров_П_П.Документ_Удостоверяющий_Личность.Выдача.Дата.Числовой</w:t>
      </w:r>
      <w:r>
        <w:rPr/>
        <w:t>):</w:t>
      </w:r>
    </w:p>
    <w:p>
      <w:pPr>
        <w:pStyle w:val="Normal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  <w:t>1.</w:t>
      </w:r>
      <w:r>
        <w:rPr>
          <w:lang w:val="en-US"/>
        </w:rPr>
        <w:t> </w:t>
      </w:r>
      <w:r>
        <w:rPr/>
        <w:t>Быть представителем Общества по любым вопросам перед любыми физическими лицами (включая индивидуальных предпринимателей и иных лиц, осуществляющих предпринимательскую деятельность), перед любыми юридическими лицами (в любых организациях), в любых органах, в том числе: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арбитражных судах;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судах общей юрисдикции (в том числе у мировых судей);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третейских судах;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службе судебных приставов;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любых организациях связи, в том числе в АО «Почта России»;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налоговой службе;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антимонопольной службе;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мультифункциональных центрах предоставления государственных и муниципальных услуг;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службе государственной регистрации, кадастра и картографии (Росреестр);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службе государственной статистики;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службе по труду и занятности (Роструд) и государственных инспекциях труда;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службе по надзору в сфере защиты прав потребителей и благополучия человека (Роспотребнадзор);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службе по надзору в сфере связи, информационных технологий и массовых коммуникаций (Роскомнадзор);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службе по интеллектуальной собственности (Роспатент);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 xml:space="preserve">в </w:t>
      </w:r>
      <w:r>
        <w:rPr/>
        <w:t>Федерально</w:t>
      </w:r>
      <w:r>
        <w:rPr/>
        <w:t>м</w:t>
      </w:r>
      <w:r>
        <w:rPr/>
        <w:t xml:space="preserve"> государственно</w:t>
      </w:r>
      <w:r>
        <w:rPr/>
        <w:t>м</w:t>
      </w:r>
      <w:r>
        <w:rPr/>
        <w:t xml:space="preserve"> бюджетно</w:t>
      </w:r>
      <w:r>
        <w:rPr/>
        <w:t>м</w:t>
      </w:r>
      <w:r>
        <w:rPr/>
        <w:t xml:space="preserve"> учреждени</w:t>
      </w:r>
      <w:r>
        <w:rPr/>
        <w:t>и</w:t>
      </w:r>
      <w:r>
        <w:rPr/>
        <w:t xml:space="preserve"> «Федеральный институт промышленной собственности» </w:t>
      </w:r>
      <w:r>
        <w:rPr/>
        <w:t>(</w:t>
      </w:r>
      <w:r>
        <w:rPr/>
        <w:t>ФГБУ ФИПС</w:t>
      </w:r>
      <w:r>
        <w:rPr/>
        <w:t>)</w:t>
      </w:r>
      <w:r>
        <w:rPr/>
        <w:t>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Банке России;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 xml:space="preserve">в </w:t>
      </w:r>
      <w:r>
        <w:rPr/>
        <w:t>Социальном</w:t>
      </w:r>
      <w:r>
        <w:rPr/>
        <w:t xml:space="preserve"> фонде Российской Федерации;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фондах обязательного медицинского страхования;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органах внутренних дел, в том числе в полиции и Следственном комитете Российской Федерации;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прокуратуре Российской Федерации;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Государственной инспекции безопасности дорожного движения Министерства внутренних дел Российской Федерации (Госавтоинспекци</w:t>
      </w:r>
      <w:r>
        <w:rPr/>
        <w:t>я</w:t>
      </w:r>
      <w:r>
        <w:rPr/>
        <w:t>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Департаменте образования и науки г. Москвы;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банках и иных кредитных организациях;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у страховщиков (в страховых организациях, страховых компаниях);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перед нотариусами и в нотариальных конторах (в том числе по любым вопросам, связанным с обеспечением доказательств);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любых организациях и перед любыми гражданами, осуществляющими функции по проведению экспертных исследований;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любых организациях и перед любыми физическими лицами, осуществляющими оценочную деятельность.</w:t>
      </w:r>
    </w:p>
    <w:p>
      <w:pPr>
        <w:pStyle w:val="Normal"/>
        <w:ind w:firstLine="709"/>
        <w:jc w:val="both"/>
        <w:rPr/>
      </w:pPr>
      <w:r>
        <w:rPr/>
        <w:t>При этом представитель вправе представлять Общество в том числе в любых структурных, территориальных и обособленных подразделениях (органах, управлениях, отделах, отделениях, филиалах, представительствах, инспекциях и т. д.) соответствующих органов и организаций.</w:t>
      </w:r>
    </w:p>
    <w:p>
      <w:pPr>
        <w:pStyle w:val="Normal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  <w:t>2. От лица Общества:</w:t>
      </w:r>
    </w:p>
    <w:p>
      <w:pPr>
        <w:pStyle w:val="Normal"/>
        <w:ind w:firstLine="709"/>
        <w:jc w:val="both"/>
        <w:rPr/>
      </w:pPr>
      <w:r>
        <w:rPr/>
        <w:t>1) Осуществлять все полномочия, предоставленные законом истцу, ответчику, административному истцу, административному ответчику, третьему лицу, иным участникам судебного процесса, в том числе: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исковые заявления (предъявлять иски);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административные исковые заявления (предъявлять административные иски);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встречные исковые заявления (предъявлять встречные иски);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встречные административные исковые заявления (предъявлять встречные административные иски);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заявления о вынесении судебного приказа;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подавать в суд заявления об обеспечении исков;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заявления о применении мер предварительной защиты по административному иску;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отзывы (возражения) на исковые заявления (иски);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отзывы (возражения) на административные исковые заявления (административные иски);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отказываться от исковых требований (от исков) как полностью, так и частично;</w:t>
      </w:r>
    </w:p>
    <w:p>
      <w:pPr>
        <w:pStyle w:val="Normal"/>
        <w:tabs>
          <w:tab w:val="clear" w:pos="720"/>
          <w:tab w:val="left" w:pos="851" w:leader="none"/>
          <w:tab w:val="left" w:pos="993" w:leader="none"/>
        </w:tabs>
        <w:ind w:firstLine="709"/>
        <w:jc w:val="both"/>
        <w:rPr/>
      </w:pPr>
      <w:r>
        <w:rPr/>
        <w:t>– </w:t>
      </w:r>
      <w:r>
        <w:rPr/>
        <w:t>отказываться от административных исковых требований (от административных исков) как полностью, так и частично;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признавать иски;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признавать административные иски;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изменять предмет и основание исков;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изменять предмет и основание административных исков;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уменьшать размер исковых требований;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заключать мировые соглашения и соглашения по фактическим обстоятельствам;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заключать соглашения о примирении сторон и соглашения по фактическим обстоятельствам административного дела;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обжаловать судебные постановления и судебные акты, в том числе подписывать и представлять в суд соответствующие жалобы и заявления;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заявления о пересмотре судебных постановлений и судебных актов по новым и вновь открывшимся обстоятельствам;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любые иные заявления и ходатайства.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знакомиться с материалами дела, запрашивать и получать экземпляры (копии) материалов дела, запрашивать и получать экземпляры (копии) судебных постановлений и судебных актов.</w:t>
      </w:r>
    </w:p>
    <w:p>
      <w:pPr>
        <w:pStyle w:val="Normal"/>
        <w:tabs>
          <w:tab w:val="clear" w:pos="720"/>
          <w:tab w:val="left" w:pos="993" w:leader="none"/>
        </w:tabs>
        <w:ind w:firstLine="709"/>
        <w:jc w:val="both"/>
        <w:rPr/>
      </w:pPr>
      <w:r>
        <w:rPr/>
        <w:t>2) Осуществлять все полномочия, предоставленные законом должнику, взыскателю и иным участникам исполнительного производства, в том числе предъявлять исполнительные документы к исполнению, представлять (направлять) исполнительные документы в кредитные организации для исполнения ими содержащихся в исполнительных документах требований, подписывать и представлять в кредитные организации заявления, отзывать исполнительные документы, обжаловать постановления и действия (бездействие) судебного пристава-исполнителя, отказываться от взыскания по исполнительным документам.</w:t>
      </w:r>
    </w:p>
    <w:p>
      <w:pPr>
        <w:pStyle w:val="Normal"/>
        <w:tabs>
          <w:tab w:val="clear" w:pos="720"/>
          <w:tab w:val="left" w:pos="993" w:leader="none"/>
        </w:tabs>
        <w:ind w:firstLine="709"/>
        <w:jc w:val="both"/>
        <w:rPr/>
      </w:pPr>
      <w:r>
        <w:rPr/>
        <w:t>3) Осуществлять все полномочия, предоставленные законом лицу, в отношении которого или в связи с действиями или бездействием которого подлежит составлению протокол об административном правонарушении или протокол осмотра места совершения административного правонарушения, лицу, в отношении которого ведется производство об административном правонарушении (защитнику такого лица), потерпевшему (представителю потерпевшего).</w:t>
      </w:r>
    </w:p>
    <w:p>
      <w:pPr>
        <w:pStyle w:val="Normal"/>
        <w:tabs>
          <w:tab w:val="clear" w:pos="720"/>
          <w:tab w:val="left" w:pos="993" w:leader="none"/>
        </w:tabs>
        <w:ind w:firstLine="709"/>
        <w:jc w:val="both"/>
        <w:rPr/>
      </w:pPr>
      <w:r>
        <w:rPr/>
        <w:t>4) Осуществлять все полномочия, предоставленные законом лицу, обжалующему акты налоговых органов ненормативного характера, действия или бездействие их должностных лиц.</w:t>
      </w:r>
    </w:p>
    <w:p>
      <w:pPr>
        <w:pStyle w:val="Normal"/>
        <w:tabs>
          <w:tab w:val="clear" w:pos="720"/>
          <w:tab w:val="left" w:pos="993" w:leader="none"/>
        </w:tabs>
        <w:ind w:firstLine="709"/>
        <w:jc w:val="both"/>
        <w:rPr/>
      </w:pPr>
      <w:r>
        <w:rPr/>
        <w:t>5) Осуществлять все полномочия, предоставленные законом лицу, участвующему в деле о нарушении антимонопольного законодательства или законодательства о рекламе.</w:t>
      </w:r>
    </w:p>
    <w:p>
      <w:pPr>
        <w:pStyle w:val="Normal"/>
        <w:tabs>
          <w:tab w:val="clear" w:pos="720"/>
          <w:tab w:val="left" w:pos="993" w:leader="none"/>
        </w:tabs>
        <w:ind w:firstLine="709"/>
        <w:jc w:val="both"/>
        <w:rPr/>
      </w:pPr>
      <w:r>
        <w:rPr/>
        <w:t>6) Совершать любые действия, направленные на защиту прав и законных интересов Общества, в том числе: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подписывать, направлять (представлять, подавать, предъявлять, предоставлять) и получать любые документы, в том числе заявления, требования, заявки, запросы, справки;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расписываться в получении любых документов;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подписывать, направлять и получать любые юридические значимые сообщения;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направлять и получать любые почтовые отправления, направлять и получать любую корреспонденцию, расписываться в их получении;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подписывать, направлять и получать досудебные претензии, вести претензионную работу;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заключать соглашения о досудебном урегулировании споров;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заверять копии хранимых Обществом документов;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вести переписку и переговоры;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давать любые устные и письменные пояснения (объяснения);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оплачивать любые пошлины и сборы.</w:t>
      </w:r>
    </w:p>
    <w:p>
      <w:pPr>
        <w:pStyle w:val="Normal"/>
        <w:ind w:firstLine="709"/>
        <w:jc w:val="both"/>
        <w:rPr/>
      </w:pPr>
      <w:r>
        <w:rPr/>
        <w:t>7) Заключать гражданско-правовые сделки, направленные на защиту прав и законных интересов Общества, в том числе договоры, предметом которых является оказание нотариальных услуг (в том числе услуг технического характера), проведение экспертных исследований, проведение оценки, перевозка документов и иных грузов, а также оплачивать товары, работы и услуги по таким сделкам, принимать исполнение по таким сделкам и подписывать связанные с их исполнением документы (в том числе акты, накладные и т. д.).</w:t>
      </w:r>
    </w:p>
    <w:p>
      <w:pPr>
        <w:pStyle w:val="Normal"/>
        <w:ind w:firstLine="709"/>
        <w:jc w:val="both"/>
        <w:rPr/>
      </w:pPr>
      <w:r>
        <w:rPr/>
        <w:t xml:space="preserve">Указанное в настоящем подпункте полномочие предоставлено в отношении сделок, цена товаров, работ и услуг по каждой из которых не превышает </w:t>
      </w:r>
      <w:r>
        <w:rPr>
          <w:highlight w:val="yellow"/>
        </w:rPr>
        <w:t>Доверенность.Лимит_Расходов.Цифрами</w:t>
      </w:r>
      <w:r>
        <w:rPr/>
        <w:t xml:space="preserve"> (</w:t>
      </w:r>
      <w:r>
        <w:rPr>
          <w:highlight w:val="yellow"/>
        </w:rPr>
        <w:t>Доверенность.Лимит_Расходов.Прописью</w:t>
      </w:r>
      <w:r>
        <w:rPr/>
        <w:t>) рублей.</w:t>
      </w:r>
    </w:p>
    <w:p>
      <w:pPr>
        <w:pStyle w:val="Normal"/>
        <w:ind w:firstLine="709"/>
        <w:jc w:val="both"/>
        <w:rPr/>
      </w:pPr>
      <w:r>
        <w:rPr/>
        <w:t>8) Совершать иные юридические и фактические действия, связанные с предоставленными настоящей доверенностью полномочиями.</w: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  <w:t xml:space="preserve">Доверенность выдана </w:t>
      </w:r>
      <w:r>
        <w:rPr>
          <w:highlight w:val="yellow"/>
        </w:rPr>
        <w:t>Доверенность.Передоверие</w:t>
      </w:r>
      <w:r>
        <w:rPr/>
        <w:t>.</w:t>
      </w:r>
    </w:p>
    <w:p>
      <w:pPr>
        <w:pStyle w:val="Normal"/>
        <w:ind w:firstLine="709"/>
        <w:jc w:val="both"/>
        <w:rPr/>
      </w:pPr>
      <w:r>
        <w:rPr/>
        <w:t xml:space="preserve">Срок действия доверенности: </w:t>
      </w:r>
      <w:r>
        <w:rPr>
          <w:highlight w:val="yellow"/>
        </w:rPr>
        <w:t>Доверенность.Срок_Действия</w:t>
      </w:r>
      <w:r>
        <w:rPr>
          <w:shd w:fill="auto" w:val="clear"/>
        </w:rPr>
        <w:t>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right"/>
        <w:rPr>
          <w:b/>
          <w:b/>
          <w:bCs/>
        </w:rPr>
      </w:pPr>
      <w:r>
        <w:rPr>
          <w:b/>
          <w:bCs/>
          <w:highlight w:val="yellow"/>
        </w:rPr>
        <w:t>ООО_Ромашка.Фирменное_Наименование.Сокращенное.Именительный</w:t>
      </w:r>
    </w:p>
    <w:p>
      <w:pPr>
        <w:pStyle w:val="Normal"/>
        <w:jc w:val="right"/>
        <w:rPr>
          <w:b/>
          <w:b/>
          <w:bCs/>
        </w:rPr>
      </w:pPr>
      <w:r>
        <w:rPr>
          <w:b/>
          <w:bCs/>
          <w:highlight w:val="yellow"/>
        </w:rPr>
        <w:t>ООО_Ромашка.Руководитель.Должность.Именительный</w:t>
      </w:r>
    </w:p>
    <w:p>
      <w:pPr>
        <w:pStyle w:val="Normal"/>
        <w:jc w:val="both"/>
        <w:rPr>
          <w:b/>
          <w:b/>
          <w:bCs/>
          <w:highlight w:val="yellow"/>
        </w:rPr>
      </w:pPr>
      <w:r>
        <w:rPr/>
      </w:r>
    </w:p>
    <w:p>
      <w:pPr>
        <w:pStyle w:val="Normal"/>
        <w:jc w:val="right"/>
        <w:rPr>
          <w:b/>
          <w:b/>
          <w:bCs/>
          <w:highlight w:val="yellow"/>
        </w:rPr>
      </w:pPr>
      <w:r>
        <w:rPr>
          <w:b/>
          <w:bCs/>
        </w:rPr>
        <w:t>____________ / </w:t>
      </w:r>
      <w:r>
        <w:rPr>
          <w:b/>
          <w:bCs/>
          <w:highlight w:val="yellow"/>
        </w:rPr>
        <w:t>ООО_Ромашка.Руководитель.ФИО.Сокращенные.Именительный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Times New Roman">
    <w:charset w:val="01"/>
    <w:family w:val="swiss"/>
    <w:pitch w:val="default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Liberation Mono">
    <w:altName w:val="Courier New"/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e371b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link w:val="4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5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Heading6">
    <w:name w:val="Heading 6"/>
    <w:basedOn w:val="Normal"/>
    <w:next w:val="Normal"/>
    <w:link w:val="6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7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8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9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Pr>
      <w:rFonts w:ascii="Arial" w:hAnsi="Arial" w:eastAsia="Arial" w:cs="Arial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qFormat/>
    <w:rPr>
      <w:rFonts w:ascii="Arial" w:hAnsi="Arial" w:eastAsia="Arial" w:cs="Arial"/>
      <w:sz w:val="34"/>
    </w:rPr>
  </w:style>
  <w:style w:type="character" w:styleId="3" w:customStyle="1">
    <w:name w:val="Заголовок 3 Знак"/>
    <w:basedOn w:val="DefaultParagraphFont"/>
    <w:link w:val="Heading3"/>
    <w:uiPriority w:val="9"/>
    <w:qFormat/>
    <w:rPr>
      <w:rFonts w:ascii="Arial" w:hAnsi="Arial" w:eastAsia="Arial" w:cs="Arial"/>
      <w:sz w:val="30"/>
      <w:szCs w:val="30"/>
    </w:rPr>
  </w:style>
  <w:style w:type="character" w:styleId="4" w:customStyle="1">
    <w:name w:val="Заголовок 4 Знак"/>
    <w:basedOn w:val="DefaultParagraphFont"/>
    <w:link w:val="Heading4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" w:customStyle="1">
    <w:name w:val="Заголовок 5 Знак"/>
    <w:basedOn w:val="DefaultParagraphFont"/>
    <w:link w:val="Heading5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" w:customStyle="1">
    <w:name w:val="Заголовок 6 Знак"/>
    <w:basedOn w:val="DefaultParagraphFont"/>
    <w:link w:val="Heading6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" w:customStyle="1">
    <w:name w:val="Заголовок 7 Знак"/>
    <w:basedOn w:val="DefaultParagraphFont"/>
    <w:link w:val="Heading7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basedOn w:val="DefaultParagraphFont"/>
    <w:link w:val="Heading8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" w:customStyle="1">
    <w:name w:val="Заголовок 9 Знак"/>
    <w:basedOn w:val="DefaultParagraphFont"/>
    <w:link w:val="Heading9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link w:val="Title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Pr>
      <w:sz w:val="24"/>
      <w:szCs w:val="24"/>
    </w:rPr>
  </w:style>
  <w:style w:type="character" w:styleId="21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8" w:customStyle="1">
    <w:name w:val="Название объекта Знак"/>
    <w:link w:val="Caption1"/>
    <w:uiPriority w:val="99"/>
    <w:qFormat/>
    <w:rPr/>
  </w:style>
  <w:style w:type="character" w:styleId="InternetLink">
    <w:name w:val="Hyperlink"/>
    <w:uiPriority w:val="99"/>
    <w:unhideWhenUsed/>
    <w:rPr>
      <w:color w:val="0563C1" w:themeColor="hyperlink"/>
      <w:u w:val="single"/>
    </w:rPr>
  </w:style>
  <w:style w:type="character" w:styleId="Style9" w:customStyle="1">
    <w:name w:val="Текст сноски Знак"/>
    <w:link w:val="Footnote"/>
    <w:uiPriority w:val="99"/>
    <w:qFormat/>
    <w:rPr>
      <w:sz w:val="18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Style10" w:customStyle="1">
    <w:name w:val="Текст концевой сноски Знак"/>
    <w:link w:val="Endnote"/>
    <w:uiPriority w:val="99"/>
    <w:qFormat/>
    <w:rPr>
      <w:sz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Style11" w:customStyle="1">
    <w:name w:val="Верхний колонтитул Знак"/>
    <w:basedOn w:val="DefaultParagraphFont"/>
    <w:link w:val="Header"/>
    <w:uiPriority w:val="99"/>
    <w:qFormat/>
    <w:rPr>
      <w:rFonts w:ascii="Calibri" w:hAnsi="Calibri" w:eastAsia="Calibri" w:cs="Times New Roman"/>
      <w:sz w:val="22"/>
      <w:szCs w:val="22"/>
      <w:lang w:val="en-US"/>
    </w:rPr>
  </w:style>
  <w:style w:type="character" w:styleId="22" w:customStyle="1">
    <w:name w:val="Основной текст (2)_"/>
    <w:basedOn w:val="DefaultParagraphFont"/>
    <w:link w:val="23"/>
    <w:qFormat/>
    <w:rPr>
      <w:rFonts w:ascii="Times New Roman" w:hAnsi="Times New Roman" w:eastAsia="Times New Roman" w:cs="Times New Roman"/>
      <w:b/>
      <w:bCs/>
      <w:sz w:val="21"/>
      <w:szCs w:val="21"/>
      <w:shd w:fill="FFFFFF" w:val="clea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FreeSans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Title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next w:val="Normal"/>
    <w:link w:val="Style6"/>
    <w:uiPriority w:val="11"/>
    <w:qFormat/>
    <w:pPr>
      <w:spacing w:before="200" w:after="200"/>
    </w:pPr>
    <w:rPr/>
  </w:style>
  <w:style w:type="paragraph" w:styleId="Quote">
    <w:name w:val="Quote"/>
    <w:basedOn w:val="Normal"/>
    <w:next w:val="Normal"/>
    <w:link w:val="21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</w:pPr>
    <w:rPr/>
  </w:style>
  <w:style w:type="paragraph" w:styleId="Caption1">
    <w:name w:val="caption"/>
    <w:basedOn w:val="Normal"/>
    <w:next w:val="Normal"/>
    <w:link w:val="Style8"/>
    <w:uiPriority w:val="35"/>
    <w:semiHidden/>
    <w:unhideWhenUsed/>
    <w:qFormat/>
    <w:pPr>
      <w:spacing w:lineRule="auto" w:line="276"/>
    </w:pPr>
    <w:rPr>
      <w:b/>
      <w:bCs/>
      <w:color w:val="4472C4" w:themeColor="accent1"/>
      <w:sz w:val="18"/>
      <w:szCs w:val="18"/>
    </w:rPr>
  </w:style>
  <w:style w:type="paragraph" w:styleId="Footnote">
    <w:name w:val="Footnote Text"/>
    <w:basedOn w:val="Normal"/>
    <w:link w:val="Style9"/>
    <w:uiPriority w:val="99"/>
    <w:semiHidden/>
    <w:unhideWhenUsed/>
    <w:pPr>
      <w:spacing w:before="0" w:after="40"/>
    </w:pPr>
    <w:rPr>
      <w:sz w:val="18"/>
    </w:rPr>
  </w:style>
  <w:style w:type="paragraph" w:styleId="Endnote">
    <w:name w:val="Endnote Text"/>
    <w:basedOn w:val="Normal"/>
    <w:link w:val="Style10"/>
    <w:uiPriority w:val="99"/>
    <w:semiHidden/>
    <w:unhideWhenUsed/>
    <w:pPr/>
    <w:rPr>
      <w:sz w:val="20"/>
    </w:rPr>
  </w:style>
  <w:style w:type="paragraph" w:styleId="Contents1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Contents2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Contents3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Contents4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Contents5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Contents6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Contents7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Contents8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Contents9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uiPriority w:val="39"/>
    <w:unhideWhenUsed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/>
    <w:rPr/>
  </w:style>
  <w:style w:type="paragraph" w:styleId="Header">
    <w:name w:val="Header"/>
    <w:basedOn w:val="Normal"/>
    <w:link w:val="Style11"/>
    <w:uiPriority w:val="99"/>
    <w:unhideWhenUsed/>
    <w:pPr>
      <w:tabs>
        <w:tab w:val="clear" w:pos="720"/>
        <w:tab w:val="center" w:pos="4844" w:leader="none"/>
        <w:tab w:val="right" w:pos="9689" w:leader="none"/>
      </w:tabs>
    </w:pPr>
    <w:rPr>
      <w:rFonts w:ascii="Calibri" w:hAnsi="Calibri" w:eastAsia="Calibri"/>
      <w:sz w:val="22"/>
      <w:szCs w:val="22"/>
      <w:lang w:val="en-US" w:eastAsia="en-US"/>
    </w:rPr>
  </w:style>
  <w:style w:type="paragraph" w:styleId="23" w:customStyle="1">
    <w:name w:val="Основной текст (2)"/>
    <w:basedOn w:val="Normal"/>
    <w:link w:val="22"/>
    <w:qFormat/>
    <w:pPr>
      <w:widowControl w:val="false"/>
      <w:shd w:val="clear" w:color="auto" w:fill="FFFFFF"/>
      <w:spacing w:lineRule="exact" w:line="252"/>
      <w:ind w:hanging="320"/>
      <w:jc w:val="center"/>
    </w:pPr>
    <w:rPr>
      <w:b/>
      <w:bCs/>
      <w:sz w:val="21"/>
      <w:szCs w:val="21"/>
      <w:lang w:eastAsia="en-US"/>
    </w:rPr>
  </w:style>
  <w:style w:type="paragraph" w:styleId="Style12" w:customStyle="1">
    <w:name w:val="Текст в заданном формате"/>
    <w:basedOn w:val="Normal"/>
    <w:qFormat/>
    <w:rsid w:val="00df6713"/>
    <w:pPr>
      <w:widowControl w:val="false"/>
      <w:suppressAutoHyphens w:val="true"/>
    </w:pPr>
    <w:rPr>
      <w:rFonts w:ascii="Liberation Mono" w:hAnsi="Liberation Mono" w:eastAsia="NSimSun" w:cs="Liberation Mono"/>
      <w:sz w:val="20"/>
      <w:szCs w:val="20"/>
      <w:lang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1ACDC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3C5E7" w:themeColor="accent1" w:sz="4" w:space="0"/>
          <w:left w:val="single" w:color="B3C5E7" w:themeColor="accent1" w:sz="4" w:space="0"/>
          <w:bottom w:val="single" w:color="B3C5E7" w:themeColor="accent1" w:sz="4" w:space="0"/>
          <w:right w:val="single" w:color="B3C5E7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4B28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ACACA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FDA6A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EC4E6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CD6EE" w:themeColor="accent5" w:sz="4" w:space="0"/>
          <w:left w:val="single" w:color="BCD6EE" w:themeColor="accent5" w:sz="4" w:space="0"/>
          <w:bottom w:val="single" w:color="BCD6EE" w:themeColor="accent5" w:sz="4" w:space="0"/>
          <w:right w:val="single" w:color="BCD6EE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AAD190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37DC8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37DC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37DC8" w:themeColor="accent1" w:sz="4" w:space="0"/>
          <w:left w:val="single" w:color="537DC8" w:themeColor="accent1" w:sz="4" w:space="0"/>
          <w:bottom w:val="single" w:color="537DC8" w:themeColor="accent1" w:sz="4" w:space="0"/>
          <w:right w:val="single" w:color="537DC8" w:themeColor="accent1" w:sz="4" w:space="0"/>
        </w:tcBorders>
        <w:shd w:val="clear" w:color="537DC8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37DC8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3F3" w:fill="DAE3F3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AE3F3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1"/>
      </w:tcPr>
    </w:tblStylePr>
    <w:tblStylePr w:type="fir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band1Vert">
      <w:tblPr/>
      <w:tcPr>
        <w:shd w:val="clear" w:color="A9BEE4" w:fill="A9BEE4" w:themeFill="accent1" w:themeFillTint="75"/>
      </w:tcPr>
    </w:tblStylePr>
    <w:tblStylePr w:type="band1Horz">
      <w:tblPr/>
      <w:tcPr>
        <w:shd w:val="clear" w:color="A9BEE4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5"/>
      </w:tcPr>
    </w:tblStylePr>
    <w:tblStylePr w:type="fir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band1Horz">
      <w:tblPr/>
      <w:tcPr>
        <w:shd w:val="clear" w:color="B3D0EB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color="A0B7E1" w:themeColor="accent1" w:sz="12" w:space="0"/>
        </w:tcBorders>
      </w:tcPr>
    </w:tblStylePr>
    <w:tblStylePr w:type="lastRow">
      <w:rPr>
        <w:b/>
        <w:color w:val="A0B7E1" w:themeColor="accent1" w:themeTint="80" w:themeShade="95"/>
      </w:rPr>
      <w:tblPr/>
    </w:tblStylePr>
    <w:tblStylePr w:type="firstCol">
      <w:rPr>
        <w:b/>
        <w:color w:val="A0B7E1" w:themeColor="accent1" w:themeTint="80" w:themeShade="95"/>
      </w:rPr>
      <w:tblPr/>
    </w:tblStylePr>
    <w:tblStylePr w:type="lastCol">
      <w:rPr>
        <w:b/>
        <w:color w:val="A0B7E1" w:themeColor="accent1" w:themeTint="80" w:themeShade="95"/>
      </w:rPr>
      <w:tblPr/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b/>
        <w:color w:val="F4B184" w:themeColor="accent2" w:themeTint="97" w:themeShade="95"/>
      </w:rPr>
      <w:tblPr/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A5A5A5" w:themeColor="accent3" w:themeTint="fe" w:themeShade="95"/>
      </w:rPr>
      <w:tblPr/>
    </w:tblStylePr>
    <w:tblStylePr w:type="firstCol">
      <w:rPr>
        <w:b/>
        <w:color w:val="A5A5A5" w:themeColor="accent3" w:themeTint="fe" w:themeShade="95"/>
      </w:rPr>
      <w:tblPr/>
    </w:tblStylePr>
    <w:tblStylePr w:type="lastCol">
      <w:rPr>
        <w:b/>
        <w:color w:val="A5A5A5"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b/>
        <w:color w:val="FFD865" w:themeColor="accent4" w:themeTint="9a" w:themeShade="95"/>
      </w:rPr>
      <w:tblPr/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A8D" w:themeColor="accent5" w:themeShade="95"/>
      </w:rPr>
      <w:tblPr/>
    </w:tblStylePr>
    <w:tblStylePr w:type="firstCol">
      <w:rPr>
        <w:b/>
        <w:color w:val="245A8D" w:themeColor="accent5" w:themeShade="95"/>
      </w:rPr>
      <w:tblPr/>
    </w:tblStylePr>
    <w:tblStylePr w:type="lastCol">
      <w:rPr>
        <w:b/>
        <w:color w:val="245A8D" w:themeColor="accent5" w:themeShade="95"/>
      </w:rPr>
      <w:tblPr/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A8D" w:themeColor="accent5" w:themeShade="95"/>
      </w:rPr>
      <w:tblPr/>
    </w:tblStylePr>
    <w:tblStylePr w:type="firstCol">
      <w:rPr>
        <w:b/>
        <w:color w:val="245A8D" w:themeColor="accent5" w:themeShade="95"/>
      </w:rPr>
      <w:tblPr/>
    </w:tblStylePr>
    <w:tblStylePr w:type="lastCol">
      <w:rPr>
        <w:b/>
        <w:color w:val="245A8D"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0B7E1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color="A0B7E1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sz="4" w:space="0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single" w:color="A0B7E1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sz="4" w:space="0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color="000000" w:sz="4" w:space="0"/>
          <w:left w:val="single" w:color="A2C6E7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sz="4" w:space="0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color="000000" w:sz="4" w:space="0"/>
          <w:left w:val="single" w:color="ADD394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tblPr/>
      <w:tcPr>
        <w:shd w:val="clear" w:color="CFDBF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tblPr/>
      <w:tcPr>
        <w:shd w:val="clear" w:color="D5E5F4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5AFDD" w:themeColor="accent1" w:sz="4" w:space="0"/>
          <w:left w:val="none" w:color="000000" w:sz="4" w:space="0"/>
          <w:bottom w:val="single" w:color="95AFD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5AFDD" w:themeColor="accent1" w:sz="4" w:space="0"/>
          <w:left w:val="none" w:color="000000" w:sz="4" w:space="0"/>
          <w:bottom w:val="single" w:color="95AFDD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9BC2E5" w:fill="9BC2E5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BC2E5" w:themeColor="accent5" w:sz="4" w:space="0"/>
          <w:right w:val="single" w:color="9BC2E5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BC2E5" w:themeColor="accent5" w:sz="4" w:space="0"/>
          <w:bottom w:val="single" w:color="9BC2E5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fill="4472C4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fill="4472C4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BC2E5" w:themeColor="accent5" w:sz="32" w:space="0"/>
          <w:bottom w:val="single" w:color="FFFFFF" w:themeColor="light1" w:sz="12" w:space="0"/>
        </w:tcBorders>
        <w:shd w:val="clear" w:color="9BC2E5" w:fill="9BC2E5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BC2E5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BC2E5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5" w:themeColor="accent1" w:themeShade="95"/>
      </w:rPr>
      <w:tblPr/>
    </w:tblStylePr>
    <w:tblStylePr w:type="lastCol">
      <w:rPr>
        <w:b/>
        <w:color w:val="254175" w:themeColor="accent1" w:themeShade="95"/>
      </w:rPr>
      <w:tblPr/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color w:val="C9C9C9" w:themeColor="accent3" w:themeTint="98" w:themeShade="95"/>
      </w:rPr>
      <w:tblPr/>
    </w:tblStylePr>
    <w:tblStylePr w:type="lastCol">
      <w:rPr>
        <w:b/>
        <w:color w:val="C9C9C9"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color="9BC2E5" w:themeColor="accent5" w:sz="4" w:space="0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color="9BC2E5" w:themeColor="accent5" w:sz="4" w:space="0"/>
        </w:tcBorders>
      </w:tcPr>
    </w:tblStylePr>
    <w:tblStylePr w:type="firstCol">
      <w:rPr>
        <w:b/>
        <w:color w:val="9BC2E5" w:themeColor="accent5" w:themeTint="9a" w:themeShade="95"/>
      </w:rPr>
      <w:tblPr/>
    </w:tblStylePr>
    <w:tblStylePr w:type="lastCol">
      <w:rPr>
        <w:b/>
        <w:color w:val="9BC2E5" w:themeColor="accent5" w:themeTint="9a" w:themeShade="95"/>
      </w:rPr>
      <w:tblPr/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  <w:tblStylePr w:type="firstCol">
      <w:rPr>
        <w:b/>
        <w:color w:val="A9D08E" w:themeColor="accent6" w:themeTint="98" w:themeShade="95"/>
      </w:rPr>
      <w:tblPr/>
    </w:tblStylePr>
    <w:tblStylePr w:type="lastCol">
      <w:rPr>
        <w:b/>
        <w:color w:val="A9D08E"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color="4472C4" w:themeColor="accent1" w:sz="4" w:space="0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9C9C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sz="4" w:space="0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single" w:color="C9C9C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BC2E5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color="9BC2E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sz="4" w:space="0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single" w:color="9BC2E5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9D08E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sz="4" w:space="0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single" w:color="A9D08E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254175" w:themeColor="accent1" w:sz="4" w:space="0"/>
        <w:left w:val="single" w:color="254175" w:themeColor="accent1" w:sz="4" w:space="0"/>
        <w:bottom w:val="single" w:color="254175" w:themeColor="accent1" w:sz="4" w:space="0"/>
        <w:right w:val="single" w:color="254175" w:themeColor="accent1" w:sz="4" w:space="0"/>
        <w:insideH w:val="single" w:color="254175" w:themeColor="accent1" w:sz="4" w:space="0"/>
        <w:insideV w:val="single" w:color="254175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245A8D" w:themeColor="accent5" w:sz="4" w:space="0"/>
        <w:left w:val="single" w:color="245A8D" w:themeColor="accent5" w:sz="4" w:space="0"/>
        <w:bottom w:val="single" w:color="245A8D" w:themeColor="accent5" w:sz="4" w:space="0"/>
        <w:right w:val="single" w:color="245A8D" w:themeColor="accent5" w:sz="4" w:space="0"/>
        <w:insideH w:val="single" w:color="245A8D" w:themeColor="accent5" w:sz="4" w:space="0"/>
        <w:insideV w:val="single" w:color="245A8D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4472C4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472C4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472C4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3C5E7" w:themeColor="accent1" w:sz="4" w:space="0"/>
          <w:left w:val="single" w:color="B3C5E7" w:themeColor="accent1" w:sz="4" w:space="0"/>
          <w:bottom w:val="single" w:color="B3C5E7" w:themeColor="accent1" w:sz="4" w:space="0"/>
          <w:right w:val="single" w:color="B3C5E7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4B184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9C9C9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FD865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9BC2E5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BC2E5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BC2E5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CD6EE" w:themeColor="accent5" w:sz="4" w:space="0"/>
          <w:left w:val="single" w:color="BCD6EE" w:themeColor="accent5" w:sz="4" w:space="0"/>
          <w:bottom w:val="single" w:color="BCD6EE" w:themeColor="accent5" w:sz="4" w:space="0"/>
          <w:right w:val="single" w:color="BCD6EE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A9D08E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afa">
    <w:name w:val="Table Grid"/>
    <w:basedOn w:val="a1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Application>LibreOffice/7.4.7.2$Linux_X86_64 LibreOffice_project/40$Build-2</Application>
  <AppVersion>15.0000</AppVersion>
  <Pages>3</Pages>
  <Words>923</Words>
  <Characters>7499</Characters>
  <CharactersWithSpaces>8402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2024-04-15T23:44:00Z</dcterms:created>
  <dc:creator>I B</dc:creator>
  <dc:description/>
  <dc:language>en-US</dc:language>
  <cp:lastModifiedBy/>
  <dcterms:modified xsi:type="dcterms:W3CDTF">2026-03-18T10:59:36Z</dcterms:modified>
  <cp:revision>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