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r w:rsidRPr="00152E5C">
        <w:rPr>
          <w:color w:val="2F5897"/>
        </w:rPr>
        <w:t>shadeMe</w:t>
      </w:r>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Similar to the FastExit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Icons with mipmaps are allowed as usable textures:</w:t>
      </w:r>
    </w:p>
    <w:p w:rsidR="003674E1" w:rsidRDefault="003674E1" w:rsidP="003674E1">
      <w:pPr>
        <w:pStyle w:val="ListParagraph"/>
        <w:ind w:left="1440" w:firstLine="0"/>
      </w:pPr>
      <w:r>
        <w:t>Icons with mipmaps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Compiled bytecode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Integer-prefixed EditorIDs will raise a warning:</w:t>
      </w:r>
    </w:p>
    <w:p w:rsidR="0068668D" w:rsidRDefault="0068668D" w:rsidP="0068668D">
      <w:pPr>
        <w:pStyle w:val="ListParagraph"/>
        <w:ind w:left="1440" w:firstLine="0"/>
      </w:pPr>
      <w:r>
        <w:t>EditorIDs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etc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extures are created with the appropriate mipmap chains:</w:t>
      </w:r>
    </w:p>
    <w:p w:rsidR="00606232" w:rsidRDefault="00606232" w:rsidP="00606232">
      <w:pPr>
        <w:pStyle w:val="ListParagraph"/>
        <w:ind w:left="1440" w:firstLine="0"/>
      </w:pPr>
      <w:r>
        <w:t>The LOD texture generator automatically generates the entire mipmap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framerates).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occurs on machines with Realtek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Fix for the CTD that occurs due to the improper initialization of the facegen renderer in NPC and creature dialogs.</w:t>
      </w:r>
    </w:p>
    <w:p w:rsidR="00C45B9F" w:rsidRPr="009B259F" w:rsidRDefault="00165EEF" w:rsidP="00165EEF">
      <w:pPr>
        <w:pStyle w:val="ListParagraph"/>
        <w:numPr>
          <w:ilvl w:val="0"/>
          <w:numId w:val="8"/>
        </w:numPr>
        <w:rPr>
          <w:b/>
        </w:rPr>
      </w:pPr>
      <w:r w:rsidRPr="009B259F">
        <w:rPr>
          <w:b/>
        </w:rPr>
        <w:t>Identical-to-master dialog and worldspace edit bug:</w:t>
      </w:r>
    </w:p>
    <w:p w:rsidR="00165EEF" w:rsidRDefault="00165EEF" w:rsidP="00165EEF">
      <w:pPr>
        <w:pStyle w:val="ListParagraph"/>
        <w:ind w:left="1440" w:firstLine="0"/>
      </w:pPr>
      <w:r>
        <w:t>Fix for the version control related bug that makes unnecessary edits to cells, dialogs and worldspaces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r w:rsidRPr="009149C6">
        <w:rPr>
          <w:b/>
        </w:rPr>
        <w:t>BSAssertion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lete duplication of extradata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r>
        <w:rPr>
          <w:b/>
        </w:rPr>
        <w:t>AnimObject creation bug:</w:t>
      </w:r>
    </w:p>
    <w:p w:rsidR="00D61E9B" w:rsidRDefault="00D61E9B" w:rsidP="00D61E9B">
      <w:pPr>
        <w:pStyle w:val="ListParagraph"/>
        <w:ind w:left="1440" w:firstLine="0"/>
      </w:pPr>
      <w:r>
        <w:t>Fix for the bug that caused a CTD when an animobject was created/edited when no plugins were loaded.</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tabstrip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b’ween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editorID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Script lines are automatically indented and outdented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outdented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sSomeVar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editorID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r w:rsidRPr="00165559">
        <w:rPr>
          <w:rFonts w:ascii="Consolas" w:hAnsi="Consolas" w:cs="Consolas"/>
        </w:rPr>
        <w:t>Scn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this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some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more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Some arg</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Another arg</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Let sArg1 :=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Setfunctionvalue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The description will include the comment text b’ween</w:t>
      </w:r>
      <w:r w:rsidR="00C74D1D">
        <w:t xml:space="preserve"> the script name declaration and the first local variable’s.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 xml:space="preserve">The token parser expects operators, operands and function arguments to be delimited by one of the following characters: </w:t>
      </w:r>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;@IF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 xml:space="preserve">o be recognized: </w:t>
      </w:r>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r>
        <w:rPr>
          <w:rStyle w:val="BookTitle"/>
          <w:rFonts w:ascii="Consolas" w:hAnsi="Consolas" w:cs="Consolas"/>
          <w:b w:val="0"/>
        </w:rPr>
        <w:t>;#</w:t>
      </w:r>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endIf</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;@define PrintMESSAGEString</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“MessageOne!”</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“MessageTwo!”</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if zzQuest.Var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t>PrintMESSAGEString</w:t>
      </w:r>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endif</w:t>
      </w:r>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t>fquestdelaytime</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t>doonce</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t>goldvalue</w:t>
      </w:r>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Script zzTestQS</w:t>
      </w: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t>scn zzTestQS</w:t>
      </w:r>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r w:rsidR="00252ACB">
        <w:rPr>
          <w:rStyle w:val="BookTitle"/>
          <w:rFonts w:ascii="Consolas" w:hAnsi="Consolas" w:cs="Consolas"/>
          <w:b w:val="0"/>
        </w:rPr>
        <w:t>;#</w:t>
      </w:r>
      <w:r>
        <w:rPr>
          <w:rStyle w:val="BookTitle"/>
          <w:rFonts w:ascii="Consolas" w:hAnsi="Consolas" w:cs="Consolas"/>
          <w:b w:val="0"/>
        </w:rPr>
        <w:t>import “TestSnip”</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begin gamemode</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scn zzTestQS</w:t>
      </w:r>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t>fquestdelaytime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t>doonce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t>goldvalue</w:t>
      </w:r>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begin gamemode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Defines an enumeration (enum for short). An enumeration is basically a single line definition that allows multiple macros to be defined in order. Enum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lastRenderedPageBreak/>
        <w:t>;@ENUM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r>
        <w:rPr>
          <w:rStyle w:val="BookTitle"/>
          <w:rFonts w:ascii="Consolas" w:hAnsi="Consolas" w:cs="Consolas"/>
          <w:b w:val="0"/>
        </w:rPr>
        <w:t>;#</w:t>
      </w:r>
      <w:r w:rsidR="006A6996">
        <w:rPr>
          <w:rStyle w:val="BookTitle"/>
          <w:rFonts w:ascii="Consolas" w:hAnsi="Consolas" w:cs="Consolas"/>
          <w:b w:val="0"/>
        </w:rPr>
        <w:t>define DebugLevel</w:t>
      </w:r>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;@if DebugLevel &gt; 1 &amp;&amp; DebugLevel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;@if ((DebugLevel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if eval (Octopi.tentacles == “CSE &gt; Skyrim”)</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t>player.kill</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endif</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bookmarkStart w:id="0" w:name="_GoBack"/>
            <w:bookmarkEnd w:id="0"/>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lastRenderedPageBreak/>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editorID and formID.</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extradata.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lastRenderedPageBreak/>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speedtree files</w:t>
      </w:r>
      <w:r w:rsidR="00CA4A02">
        <w:t xml:space="preserve"> and animation files</w:t>
      </w:r>
      <w:r w:rsidR="00A53B20">
        <w:t xml:space="preserve">, has been overhauled for intuitive access. Clicking on an ‘Add Asset ‘ button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r w:rsidRPr="00C36C18">
        <w:rPr>
          <w:rFonts w:ascii="Consolas" w:hAnsi="Consolas" w:cs="Consolas"/>
          <w:i/>
        </w:rPr>
        <w:t>LoadPlugin string:&lt;plugin name.extension&gt; bool:SetAsActive</w:t>
      </w:r>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LoadForm</w:t>
      </w:r>
      <w:r w:rsidRPr="00C36C18">
        <w:rPr>
          <w:rFonts w:ascii="Consolas" w:hAnsi="Consolas" w:cs="Consolas"/>
          <w:i/>
        </w:rPr>
        <w:t xml:space="preserve"> string:&lt;</w:t>
      </w:r>
      <w:r>
        <w:rPr>
          <w:rFonts w:ascii="Consolas" w:hAnsi="Consolas" w:cs="Consolas"/>
          <w:i/>
        </w:rPr>
        <w:t>editorID</w:t>
      </w:r>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Save</w:t>
      </w:r>
      <w:r w:rsidRPr="00C36C18">
        <w:rPr>
          <w:rFonts w:ascii="Consolas" w:hAnsi="Consolas" w:cs="Consolas"/>
          <w:i/>
        </w:rPr>
        <w:t>Plugin</w:t>
      </w:r>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As with the runtime, the Up and Down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r w:rsidR="00012B13">
        <w:rPr>
          <w:sz w:val="22"/>
        </w:rPr>
        <w:t>File  &gt;</w:t>
      </w:r>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formID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lastRenderedPageBreak/>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tool allows quest scripts to be quickly created. The user inputs the editorID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OBSE plugins. Inter-plugin communication is done through the OBSE messaging system. To get a pointer to the ‘interface object’, plugins must pass a message of type ‘CSEI’ to the plugin ‘CSE’ during OBSE’s PostPostLoad message callback; CSE registers listeners during the PostLoad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7C1" w:rsidRDefault="008D77C1">
      <w:pPr>
        <w:spacing w:after="0" w:line="240" w:lineRule="auto"/>
      </w:pPr>
      <w:r>
        <w:separator/>
      </w:r>
    </w:p>
  </w:endnote>
  <w:endnote w:type="continuationSeparator" w:id="0">
    <w:p w:rsidR="008D77C1" w:rsidRDefault="008D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7C1" w:rsidRDefault="008D77C1">
      <w:pPr>
        <w:spacing w:after="0" w:line="240" w:lineRule="auto"/>
      </w:pPr>
      <w:r>
        <w:separator/>
      </w:r>
    </w:p>
  </w:footnote>
  <w:footnote w:type="continuationSeparator" w:id="0">
    <w:p w:rsidR="008D77C1" w:rsidRDefault="008D7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1A" w:rsidRPr="00152E5C" w:rsidRDefault="0035051A">
    <w:pPr>
      <w:spacing w:after="0"/>
      <w:jc w:val="center"/>
      <w:rPr>
        <w:color w:val="E4E9EF"/>
      </w:rPr>
    </w:pPr>
    <w:r w:rsidRPr="00152E5C">
      <w:rPr>
        <w:color w:val="6076B4"/>
      </w:rPr>
      <w:t>Construction Set Extender</w:t>
    </w:r>
  </w:p>
  <w:p w:rsidR="0035051A" w:rsidRDefault="0035051A">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2025D"/>
    <w:rsid w:val="0032230C"/>
    <w:rsid w:val="003269D4"/>
    <w:rsid w:val="00340492"/>
    <w:rsid w:val="003422C6"/>
    <w:rsid w:val="0035051A"/>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B3F70"/>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8D77C1"/>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31F3"/>
    <w:rsid w:val="00C45B9F"/>
    <w:rsid w:val="00C51D9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1E9B"/>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50D"/>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2D79FA4-A38E-437C-A46F-9899B4FD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67</TotalTime>
  <Pages>12</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15</cp:revision>
  <dcterms:created xsi:type="dcterms:W3CDTF">2011-04-15T15:33:00Z</dcterms:created>
  <dcterms:modified xsi:type="dcterms:W3CDTF">2011-08-23T11:30:00Z</dcterms:modified>
</cp:coreProperties>
</file>