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proofErr w:type="spellStart"/>
      <w:r>
        <w:rPr>
          <w:b/>
        </w:rPr>
        <w:t>AnimObject</w:t>
      </w:r>
      <w:proofErr w:type="spellEnd"/>
      <w:r>
        <w:rPr>
          <w:b/>
        </w:rPr>
        <w:t xml:space="preserve"> creation</w:t>
      </w:r>
      <w:r>
        <w:rPr>
          <w:b/>
        </w:rPr>
        <w:t xml:space="preserve"> bug:</w:t>
      </w:r>
    </w:p>
    <w:p w:rsidR="00D61E9B" w:rsidRDefault="00D61E9B" w:rsidP="00D61E9B">
      <w:pPr>
        <w:pStyle w:val="ListParagraph"/>
        <w:ind w:left="1440" w:firstLine="0"/>
      </w:pPr>
      <w:r>
        <w:t xml:space="preserve">Fix for the bug that </w:t>
      </w:r>
      <w:r>
        <w:t xml:space="preserve">caused a CTD when an </w:t>
      </w:r>
      <w:proofErr w:type="spellStart"/>
      <w:r>
        <w:t>animobject</w:t>
      </w:r>
      <w:proofErr w:type="spellEnd"/>
      <w:r>
        <w:t xml:space="preserve"> was created/edited when no plugins were loaded</w:t>
      </w:r>
      <w:bookmarkStart w:id="0" w:name="_GoBack"/>
      <w:bookmarkEnd w:id="0"/>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lastRenderedPageBreak/>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2DF" w:rsidRDefault="000102DF">
      <w:pPr>
        <w:spacing w:after="0" w:line="240" w:lineRule="auto"/>
      </w:pPr>
      <w:r>
        <w:separator/>
      </w:r>
    </w:p>
  </w:endnote>
  <w:endnote w:type="continuationSeparator" w:id="0">
    <w:p w:rsidR="000102DF" w:rsidRDefault="0001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2DF" w:rsidRDefault="000102DF">
      <w:pPr>
        <w:spacing w:after="0" w:line="240" w:lineRule="auto"/>
      </w:pPr>
      <w:r>
        <w:separator/>
      </w:r>
    </w:p>
  </w:footnote>
  <w:footnote w:type="continuationSeparator" w:id="0">
    <w:p w:rsidR="000102DF" w:rsidRDefault="00010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1A" w:rsidRPr="00152E5C" w:rsidRDefault="0035051A">
    <w:pPr>
      <w:spacing w:after="0"/>
      <w:jc w:val="center"/>
      <w:rPr>
        <w:color w:val="E4E9EF"/>
      </w:rPr>
    </w:pPr>
    <w:r w:rsidRPr="00152E5C">
      <w:rPr>
        <w:color w:val="6076B4"/>
      </w:rPr>
      <w:t>Construction Set Extender</w:t>
    </w:r>
  </w:p>
  <w:p w:rsidR="0035051A" w:rsidRDefault="0035051A">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2025D"/>
    <w:rsid w:val="0032230C"/>
    <w:rsid w:val="003269D4"/>
    <w:rsid w:val="00340492"/>
    <w:rsid w:val="003422C6"/>
    <w:rsid w:val="0035051A"/>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1E9B"/>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20C3FBF8-5BE1-47E5-B41C-DF73809E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38</TotalTime>
  <Pages>12</Pages>
  <Words>5523</Words>
  <Characters>31485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11</cp:revision>
  <dcterms:created xsi:type="dcterms:W3CDTF">2011-04-15T15:33:00Z</dcterms:created>
  <dcterms:modified xsi:type="dcterms:W3CDTF">2011-06-28T17:39:00Z</dcterms:modified>
</cp:coreProperties>
</file>