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r w:rsidRPr="00152E5C">
        <w:rPr>
          <w:color w:val="2F5897"/>
        </w:rPr>
        <w:t>shadeMe</w:t>
      </w:r>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Similar to the FastExit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Icons with mipmaps are allowed as usable textures:</w:t>
      </w:r>
    </w:p>
    <w:p w:rsidR="003674E1" w:rsidRDefault="003674E1" w:rsidP="003674E1">
      <w:pPr>
        <w:pStyle w:val="ListParagraph"/>
        <w:ind w:left="1440" w:firstLine="0"/>
      </w:pPr>
      <w:r>
        <w:t>Icons with mipmaps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Compiled bytecode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Integer-prefixed EditorIDs will raise a warning:</w:t>
      </w:r>
    </w:p>
    <w:p w:rsidR="0068668D" w:rsidRDefault="0068668D" w:rsidP="0068668D">
      <w:pPr>
        <w:pStyle w:val="ListParagraph"/>
        <w:ind w:left="1440" w:firstLine="0"/>
      </w:pPr>
      <w:r>
        <w:t>EditorIDs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etc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extures are created with the appropriate mipmap chains:</w:t>
      </w:r>
    </w:p>
    <w:p w:rsidR="00606232" w:rsidRDefault="00606232" w:rsidP="00606232">
      <w:pPr>
        <w:pStyle w:val="ListParagraph"/>
        <w:ind w:left="1440" w:firstLine="0"/>
      </w:pPr>
      <w:r>
        <w:t>The LOD texture generator automatically generates the entire mipmap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framerates).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p>
    <w:p w:rsidR="004029F0" w:rsidRDefault="004029F0" w:rsidP="004029F0">
      <w:pPr>
        <w:pStyle w:val="ListParagraph"/>
        <w:ind w:left="1440" w:firstLine="0"/>
      </w:pPr>
      <w:r>
        <w:t xml:space="preserve">The resolution of the diffuse maps generated by the CS has been quadrupled to 4096px.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occurs on machines with Realtek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Fix for the CTD that occurs due to the improper initialization of the facegen renderer in NPC and creature dialogs.</w:t>
      </w:r>
    </w:p>
    <w:p w:rsidR="00C45B9F" w:rsidRPr="009B259F" w:rsidRDefault="00165EEF" w:rsidP="00165EEF">
      <w:pPr>
        <w:pStyle w:val="ListParagraph"/>
        <w:numPr>
          <w:ilvl w:val="0"/>
          <w:numId w:val="8"/>
        </w:numPr>
        <w:rPr>
          <w:b/>
        </w:rPr>
      </w:pPr>
      <w:r w:rsidRPr="009B259F">
        <w:rPr>
          <w:b/>
        </w:rPr>
        <w:t>Identical-to-master dialog and worldspace edit bug:</w:t>
      </w:r>
    </w:p>
    <w:p w:rsidR="00165EEF" w:rsidRDefault="00165EEF" w:rsidP="00165EEF">
      <w:pPr>
        <w:pStyle w:val="ListParagraph"/>
        <w:ind w:left="1440" w:firstLine="0"/>
      </w:pPr>
      <w:r>
        <w:t>Fix for the version control related bug that makes unnecessary edits to cells, dialogs and worldspaces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r w:rsidRPr="009149C6">
        <w:rPr>
          <w:b/>
        </w:rPr>
        <w:t>BSAssertion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lete duplication of extradata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 bug: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tabstrip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b’ween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editorID or formID.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Allows the active script to be bound to a(n) new/existing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Script lines are automatically indented and outdented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outdented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sSomeVar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editorID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r w:rsidRPr="00165559">
        <w:rPr>
          <w:rFonts w:ascii="Consolas" w:hAnsi="Consolas" w:cs="Consolas"/>
        </w:rPr>
        <w:t>Scn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this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some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more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Some arg</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Another arg</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Let sArg1 :=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Setfunctionvalue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The description will include the comment text b’ween</w:t>
      </w:r>
      <w:r w:rsidR="00C74D1D">
        <w:t xml:space="preserve"> the script name declaration and the first local variable’s.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lastRenderedPageBreak/>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 xml:space="preserve">The token parser expects operators, operands and function arguments to be delimited by one of the following characters: </w:t>
      </w:r>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;@IF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 xml:space="preserve">o be recognized: </w:t>
      </w:r>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r>
        <w:rPr>
          <w:rStyle w:val="BookTitle"/>
          <w:rFonts w:ascii="Consolas" w:hAnsi="Consolas" w:cs="Consolas"/>
          <w:b w:val="0"/>
        </w:rPr>
        <w:t>;#</w:t>
      </w:r>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endIf</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;@define PrintMESSAGEString</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“MessageOne!”</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“MessageTwo!”</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if zzQuest.Var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t>PrintMESSAGEString</w:t>
      </w:r>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endif</w:t>
      </w:r>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bookmarkStart w:id="0" w:name="_GoBack"/>
      <w:bookmarkEnd w:id="0"/>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t>fquestdelaytime</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t>doonce</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t>goldvalue</w:t>
      </w:r>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Script zzTestQS</w:t>
      </w: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t>scn zzTestQS</w:t>
      </w:r>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r w:rsidR="00252ACB">
        <w:rPr>
          <w:rStyle w:val="BookTitle"/>
          <w:rFonts w:ascii="Consolas" w:hAnsi="Consolas" w:cs="Consolas"/>
          <w:b w:val="0"/>
        </w:rPr>
        <w:t>;#</w:t>
      </w:r>
      <w:r>
        <w:rPr>
          <w:rStyle w:val="BookTitle"/>
          <w:rFonts w:ascii="Consolas" w:hAnsi="Consolas" w:cs="Consolas"/>
          <w:b w:val="0"/>
        </w:rPr>
        <w:t>import “TestSnip”</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begin gamemode</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scn zzTestQS</w:t>
      </w:r>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t>fquestdelaytime</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t>doonce</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t>goldvalue</w:t>
      </w:r>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begin gamemode</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r>
        <w:rPr>
          <w:b/>
        </w:rPr>
        <w:t>E</w:t>
      </w:r>
      <w:r w:rsidR="00695587">
        <w:rPr>
          <w:b/>
        </w:rPr>
        <w:t xml:space="preserve">num </w:t>
      </w:r>
      <w:r w:rsidR="00A62857">
        <w:t xml:space="preserve">– Defines an enumeration (enum for short). An enumeration is basically a single line definition that allows multiple macros to be defined in order. Enum items can only have numeric values. They need not be continuous i.e., an item may be declared without </w:t>
      </w:r>
      <w:r w:rsidR="00A62857">
        <w:lastRenderedPageBreak/>
        <w:t>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;@ENUM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r>
        <w:t>Enum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r>
        <w:rPr>
          <w:rStyle w:val="BookTitle"/>
          <w:rFonts w:ascii="Consolas" w:hAnsi="Consolas" w:cs="Consolas"/>
          <w:b w:val="0"/>
        </w:rPr>
        <w:t>;#</w:t>
      </w:r>
      <w:r w:rsidR="006A6996">
        <w:rPr>
          <w:rStyle w:val="BookTitle"/>
          <w:rFonts w:ascii="Consolas" w:hAnsi="Consolas" w:cs="Consolas"/>
          <w:b w:val="0"/>
        </w:rPr>
        <w:t>define DebugLevel</w:t>
      </w:r>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;@if DebugLevel &gt; 1 &amp;&amp; DebugLevel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;@if ((DebugLevel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if eval (Octopi.tentacles == “CSE &gt; Skyrim”)</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t>player.kill</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endif</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E6079E" w:rsidP="00E6079E">
            <w:pPr>
              <w:pStyle w:val="NoSpacing"/>
              <w:rPr>
                <w:rStyle w:val="BookTitle"/>
              </w:rPr>
            </w:pPr>
            <w:r w:rsidRPr="00152E5C">
              <w:rPr>
                <w:rStyle w:val="BookTitle"/>
              </w:rPr>
              <w:t>New Workspaces and Initialize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6079E">
            <w:pPr>
              <w:pStyle w:val="NoSpacing"/>
              <w:rPr>
                <w:rStyle w:val="BookTitle"/>
              </w:rPr>
            </w:pPr>
            <w:r>
              <w:rPr>
                <w:rStyle w:val="BookTitle"/>
              </w:rPr>
              <w:t>Show IntelliSense InterfacE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Pr="00152E5C" w:rsidRDefault="00CA5601" w:rsidP="00E6079E">
            <w:pPr>
              <w:pStyle w:val="NoSpacing"/>
              <w:rPr>
                <w:rStyle w:val="BookTitle"/>
              </w:rPr>
            </w:pPr>
            <w:r w:rsidRPr="00152E5C">
              <w:rPr>
                <w:rStyle w:val="BookTitle"/>
              </w:rPr>
              <w:t>Hide IntelliSense Interface</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T</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lastRenderedPageBreak/>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editorID and formID.</w:t>
      </w:r>
      <w:r w:rsidR="00CA6A4F">
        <w:t xml:space="preserve"> </w:t>
      </w:r>
      <w:r w:rsidR="00A35402">
        <w:t>Every form type, save MGEF and GMST, are listed and tracked. The tool can b</w:t>
      </w:r>
      <w:r w:rsidR="000C1046">
        <w:t>e accessed from the main menu [</w:t>
      </w:r>
      <w:r w:rsidR="00A35402">
        <w:t>Gameplay &gt; Use Info Listings].</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extradata.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r>
        <w:rPr>
          <w:noProof/>
        </w:rPr>
        <w:drawing>
          <wp:anchor distT="140208" distB="338328" distL="242316" distR="462534" simplePos="0" relativeHeight="251659264" behindDoc="0" locked="0" layoutInCell="1" allowOverlap="1">
            <wp:simplePos x="0" y="0"/>
            <wp:positionH relativeFrom="column">
              <wp:posOffset>171196</wp:posOffset>
            </wp:positionH>
            <wp:positionV relativeFrom="paragraph">
              <wp:posOffset>175133</wp:posOffset>
            </wp:positionV>
            <wp:extent cx="1809750" cy="1905254"/>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speedtree files</w:t>
      </w:r>
      <w:r w:rsidR="00CA4A02">
        <w:t xml:space="preserve"> and animation files</w:t>
      </w:r>
      <w:r w:rsidR="00A53B20">
        <w:t xml:space="preserve">, has been overhauled for intuitive access. Clicking on an ‘Add Asset ‘ button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494BD9" w:rsidP="00A53B20">
      <w:pPr>
        <w:tabs>
          <w:tab w:val="left" w:pos="1035"/>
        </w:tabs>
      </w:pPr>
      <w:r>
        <w:t>The ‘Edit Asset Path’</w:t>
      </w:r>
      <w:r w:rsidR="00A53B20">
        <w:t xml:space="preserve"> option lets the user directly modify the path of the asset file.</w:t>
      </w:r>
      <w:r w:rsidR="00940AE5">
        <w:t xml:space="preserve"> ‘File missing’ warnings are suppressed during this operation. </w:t>
      </w:r>
      <w:r>
        <w:t>‘Copy Asset Path’ is used to quickly copy a path from an existing record’s edit dialog. ‘Clear Asset Path’</w:t>
      </w:r>
      <w:r w:rsidR="00940AE5">
        <w:t xml:space="preserve"> simply clears any existing path to the asset file.</w:t>
      </w:r>
      <w:r w:rsidR="00CB7FD6">
        <w:rPr>
          <w:noProof/>
        </w:rPr>
        <w:drawing>
          <wp:anchor distT="140208" distB="334518" distL="242316" distR="451485" simplePos="0" relativeHeight="251657216" behindDoc="0" locked="0" layoutInCell="1" allowOverlap="1">
            <wp:simplePos x="0" y="0"/>
            <wp:positionH relativeFrom="column">
              <wp:posOffset>171196</wp:posOffset>
            </wp:positionH>
            <wp:positionV relativeFrom="paragraph">
              <wp:posOffset>171958</wp:posOffset>
            </wp:positionV>
            <wp:extent cx="6124829" cy="3829304"/>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r w:rsidRPr="00C36C18">
        <w:rPr>
          <w:rFonts w:ascii="Consolas" w:hAnsi="Consolas" w:cs="Consolas"/>
          <w:i/>
        </w:rPr>
        <w:t>LoadPlugin string:&lt;plugin name.extension&gt; bool:SetAsActive</w:t>
      </w:r>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LoadForm</w:t>
      </w:r>
      <w:r w:rsidRPr="00C36C18">
        <w:rPr>
          <w:rFonts w:ascii="Consolas" w:hAnsi="Consolas" w:cs="Consolas"/>
          <w:i/>
        </w:rPr>
        <w:t xml:space="preserve"> string:&lt;</w:t>
      </w:r>
      <w:r>
        <w:rPr>
          <w:rFonts w:ascii="Consolas" w:hAnsi="Consolas" w:cs="Consolas"/>
          <w:i/>
        </w:rPr>
        <w:t>editorID</w:t>
      </w:r>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Save</w:t>
      </w:r>
      <w:r w:rsidRPr="00C36C18">
        <w:rPr>
          <w:rFonts w:ascii="Consolas" w:hAnsi="Consolas" w:cs="Consolas"/>
          <w:i/>
        </w:rPr>
        <w:t>Plugin</w:t>
      </w:r>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As with the runtime, the Up and Down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r w:rsidR="00012B13">
        <w:rPr>
          <w:sz w:val="22"/>
        </w:rPr>
        <w:t>File  &gt;</w:t>
      </w:r>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formID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lastRenderedPageBreak/>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tool allows quest scripts to be quickly created. The user inputs the editorID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lastRenderedPageBreak/>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OBSE plugins. Inter-plugin communication is done through the OBSE messaging system. To get a pointer to the ‘interface object’, plugins must pass a message of type ‘CSEI’ to the plugin ‘CSE’ during OBSE’s PostPostLoad message callback; CSE registers listeners during the PostLoad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B58" w:rsidRDefault="005D6B58">
      <w:pPr>
        <w:spacing w:after="0" w:line="240" w:lineRule="auto"/>
      </w:pPr>
      <w:r>
        <w:separator/>
      </w:r>
    </w:p>
  </w:endnote>
  <w:endnote w:type="continuationSeparator" w:id="0">
    <w:p w:rsidR="005D6B58" w:rsidRDefault="005D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B58" w:rsidRDefault="005D6B58">
      <w:pPr>
        <w:spacing w:after="0" w:line="240" w:lineRule="auto"/>
      </w:pPr>
      <w:r>
        <w:separator/>
      </w:r>
    </w:p>
  </w:footnote>
  <w:footnote w:type="continuationSeparator" w:id="0">
    <w:p w:rsidR="005D6B58" w:rsidRDefault="005D6B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06" w:rsidRPr="00152E5C" w:rsidRDefault="00C57D06">
    <w:pPr>
      <w:spacing w:after="0"/>
      <w:jc w:val="center"/>
      <w:rPr>
        <w:color w:val="E4E9EF"/>
      </w:rPr>
    </w:pPr>
    <w:r w:rsidRPr="00152E5C">
      <w:rPr>
        <w:color w:val="6076B4"/>
      </w:rPr>
      <w:t>Construction Set Extender</w:t>
    </w:r>
  </w:p>
  <w:p w:rsidR="00C57D06" w:rsidRDefault="00C57D06">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D0CE1"/>
    <w:rsid w:val="001E0CE6"/>
    <w:rsid w:val="001E1EDE"/>
    <w:rsid w:val="001F51C1"/>
    <w:rsid w:val="00203D8F"/>
    <w:rsid w:val="00252ACB"/>
    <w:rsid w:val="00253549"/>
    <w:rsid w:val="00255838"/>
    <w:rsid w:val="002605F8"/>
    <w:rsid w:val="00294C6D"/>
    <w:rsid w:val="002C41CE"/>
    <w:rsid w:val="002F166F"/>
    <w:rsid w:val="002F78A2"/>
    <w:rsid w:val="00303C3C"/>
    <w:rsid w:val="00305168"/>
    <w:rsid w:val="0032025D"/>
    <w:rsid w:val="0032230C"/>
    <w:rsid w:val="003269D4"/>
    <w:rsid w:val="00340492"/>
    <w:rsid w:val="003422C6"/>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D6B58"/>
    <w:rsid w:val="005E4D77"/>
    <w:rsid w:val="005F063D"/>
    <w:rsid w:val="005F26AB"/>
    <w:rsid w:val="00606232"/>
    <w:rsid w:val="00613459"/>
    <w:rsid w:val="00653A98"/>
    <w:rsid w:val="006731C2"/>
    <w:rsid w:val="0068062F"/>
    <w:rsid w:val="0068668D"/>
    <w:rsid w:val="00695587"/>
    <w:rsid w:val="006A1270"/>
    <w:rsid w:val="006A5FED"/>
    <w:rsid w:val="006A6996"/>
    <w:rsid w:val="006B121B"/>
    <w:rsid w:val="006C69DA"/>
    <w:rsid w:val="006D7397"/>
    <w:rsid w:val="006E5494"/>
    <w:rsid w:val="006E5E61"/>
    <w:rsid w:val="00715760"/>
    <w:rsid w:val="00716CAB"/>
    <w:rsid w:val="00741AB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90653B"/>
    <w:rsid w:val="009149C6"/>
    <w:rsid w:val="00940AE5"/>
    <w:rsid w:val="00950058"/>
    <w:rsid w:val="00954BF7"/>
    <w:rsid w:val="00956EF9"/>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5B9F"/>
    <w:rsid w:val="00C51D9E"/>
    <w:rsid w:val="00C555E8"/>
    <w:rsid w:val="00C57D06"/>
    <w:rsid w:val="00C61093"/>
    <w:rsid w:val="00C63E40"/>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38C8"/>
    <w:rsid w:val="00D67D4B"/>
    <w:rsid w:val="00D67FD4"/>
    <w:rsid w:val="00D713F0"/>
    <w:rsid w:val="00D83FDE"/>
    <w:rsid w:val="00DB7641"/>
    <w:rsid w:val="00DC7869"/>
    <w:rsid w:val="00DF01D5"/>
    <w:rsid w:val="00E15872"/>
    <w:rsid w:val="00E16B80"/>
    <w:rsid w:val="00E2090D"/>
    <w:rsid w:val="00E22425"/>
    <w:rsid w:val="00E6079E"/>
    <w:rsid w:val="00E6774D"/>
    <w:rsid w:val="00E67D91"/>
    <w:rsid w:val="00E93736"/>
    <w:rsid w:val="00EA5243"/>
    <w:rsid w:val="00EB33EF"/>
    <w:rsid w:val="00EC7842"/>
    <w:rsid w:val="00EE6228"/>
    <w:rsid w:val="00F23E35"/>
    <w:rsid w:val="00F33209"/>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D9359205-F64B-42B5-8C06-E636174B9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17</TotalTime>
  <Pages>12</Pages>
  <Words>5502</Words>
  <Characters>31368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6</cp:revision>
  <dcterms:created xsi:type="dcterms:W3CDTF">2011-04-15T15:33:00Z</dcterms:created>
  <dcterms:modified xsi:type="dcterms:W3CDTF">2011-05-07T15:56:00Z</dcterms:modified>
</cp:coreProperties>
</file>