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Nei sistemi a chiave simmetrica due utenti che vogliono scambiarsi i messaggi hanno un unica chiave privata che condividono tra di loro,che utilizzano per cifrare e decifrare il messaggio trasmesso.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 xml:space="preserve">Nei sistemi a chiave pubblica gli utenti hanno ognuno 2 chiavi: una pubblica e una privata. La chiave pubblica la conoscono tutti, invece la privata è unica per ogni utente e non è condivisibile. </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Se Alice deve inviare un messaggio a Bob, essa utilizzarà la chiave pubblica di Bob per cifrare il messaggio e Bob utilizzerà la sua chiave privata per decifrarlo.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10101111=1+4+16+32+64+128=245</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prefissata,digest, (risulta impossibile trovare 2 messaggi diversi che abbiamo come output della funzione hash la stessa stringa di lunghezza prefissata) che poi verrà cifrato con la chiave segreta del mittente inviando la firma digitale + messaggio m al destinatario che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una funzione difficile da invertire.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 di possibili input per vedere se vi è corrispondenza.</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sz w:val="28"/>
          <w:szCs w:val="28"/>
          <w:lang w:val="it-IT"/>
        </w:rPr>
        <w:t xml:space="preserve">No, </w:t>
      </w:r>
      <w:r>
        <w:rPr>
          <w:rFonts w:cs="Times" w:ascii="DejaVu Math TeX Gyre" w:hAnsi="DejaVu Math TeX Gyre"/>
          <w:b w:val="false"/>
          <w:bCs w:val="false"/>
          <w:i w:val="false"/>
          <w:caps w:val="false"/>
          <w:smallCaps w:val="false"/>
          <w:color w:val="000000"/>
          <w:spacing w:val="0"/>
          <w:sz w:val="28"/>
          <w:szCs w:val="28"/>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bookmarkStart w:id="1" w:name="__DdeLink__528_244136742"/>
      <w:r>
        <w:rPr>
          <w:rFonts w:cs="Times" w:ascii="DejaVu Math TeX Gyre" w:hAnsi="DejaVu Math TeX Gyre"/>
          <w:b w:val="false"/>
          <w:bCs w:val="false"/>
          <w:color w:val="0070C0"/>
          <w:sz w:val="28"/>
          <w:szCs w:val="28"/>
          <w:lang w:val="it-IT"/>
        </w:rPr>
        <w:t>DA CHIEDERE</w:t>
      </w:r>
      <w:bookmarkEnd w:id="1"/>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24) Considerate WEP 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Alice utilizza la chiave segreta per codificare messaggio 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si procura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Infatti Trudy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Trudy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manda un nonce R ad Alice e Trudy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Trudy manda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Trudy che gli manda la sua: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senza saperlo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Alice e Bob l’autenticazione è andata a buon fine, così credono che ciò che uno spedisce l’altro riceve ma in realtà non è così. Possiamo rendere sicuro il protocollo di autenticazione ap5.0 tramite le chiave certificate.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3">
            <wp:simplePos x="0" y="0"/>
            <wp:positionH relativeFrom="column">
              <wp:posOffset>1343660</wp:posOffset>
            </wp:positionH>
            <wp:positionV relativeFrom="paragraph">
              <wp:posOffset>285750</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 questo caso quando Alice vorrà inviare messaggio a Bob dovrà firmare il timestamp (t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nonce(r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 A allora il time 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Un utente condivide una chiave segreta (K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di sessione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color w:val="00000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rFonts w:ascii="DejaVu Math TeX Gyre" w:hAnsi="DejaVu Math TeX Gyre"/>
          <w:b/>
          <w:b/>
          <w:bCs/>
          <w:sz w:val="28"/>
          <w:szCs w:val="28"/>
        </w:rPr>
      </w:pP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5240" cy="175895"/>
                <wp:effectExtent l="0" t="0" r="0" b="0"/>
                <wp:wrapNone/>
                <wp:docPr id="3" name="Frame1"/>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1.1pt;height:13.75pt;mso-position-horizontal:left;mso-position-horizontal-relative:char">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35)Un compratore si rivolge ad un sito di commercio elettronico. Quali strumenti garantiscono il compratore dell'identicità del sito di commercio elettronico e viceversa? Quale protocollo permette di mantenere il numero di carta di credito del compratore ignoto al sito di commercio elettronico?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Si potrebbe utilizzare la certificazione delle chiavi e i nonce, il compratore manda un nonce r1 con la chiave pubblica certificata del sito di commercio elettronico. Il sito cifra r1 e r2 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vaie modalità di concordare su una chiave segreta di sessione nel caso di</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40) 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70C0"/>
          <w:spacing w:val="0"/>
          <w:position w:val="0"/>
          <w:sz w:val="28"/>
          <w:sz w:val="28"/>
          <w:szCs w:val="28"/>
          <w:vertAlign w:val="baseline"/>
          <w:lang w:val="it-IT" w:eastAsia="zh-CN" w:bidi="hi-IN"/>
        </w:rPr>
        <w:t>DA CHIEDERE</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41) Un tradizionale filtro di pacchetti senza memoria di stato può filtrare pacchetti basandosi sui bit di flag TCP o su altri campi dell’intestazione.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Vero, se per esempio un’organizzazione non vuole alcuna connessione TCP entrante, se non quellle del proprio web server pubblico, può bloccare tutti i segmenti TCP SYNC in ingresso (dove SYN è un bit di flag), tranne quelli con porta destinazione 80 e indirizzo IP di destinazione corrispondente a quello del web server.</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42) In un filtro di pacchetti tradizionale ogni interfaccia può avere la propria lista di controllo degli accessi.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Vero,ogni interfaccia di router possiede una tabella di controllo degli accessi composta da una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azione, </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permette di far passare</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o bloccare quel pacchetto,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indirizzo sorgente</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 indirizzo destinazione, protocollo, porta sorgente, porta destinazione, bit di flag</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p>
    <w:p>
      <w:pPr>
        <w:pStyle w:val="Normal"/>
        <w:widowControl w:val="false"/>
        <w:spacing w:lineRule="atLeast" w:line="200" w:before="0" w:after="240"/>
        <w:rPr>
          <w:b/>
          <w:b/>
          <w:bCs/>
          <w:color w:val="00000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43) Perchè un gataway applicativo deve lavorare insieme al filtro di un router per essere efficace?</w:t>
      </w:r>
    </w:p>
    <w:p>
      <w:pPr>
        <w:pStyle w:val="Normal"/>
        <w:widowControl w:val="false"/>
        <w:spacing w:lineRule="atLeast" w:line="200" w:before="0" w:after="240"/>
        <w:rPr>
          <w:rFonts w:ascii="DejaVu Math TeX Gyre" w:hAnsi="DejaVu Math TeX Gyre" w:cs="Times"/>
          <w:b w:val="false"/>
          <w:b w:val="false"/>
          <w:bCs w:val="false"/>
          <w:i w:val="false"/>
          <w:i w:val="false"/>
          <w:iCs w:val="false"/>
          <w:caps w:val="false"/>
          <w:smallCaps w:val="false"/>
          <w:spacing w:val="0"/>
          <w:position w:val="0"/>
          <w:sz w:val="24"/>
          <w:sz w:val="28"/>
          <w:szCs w:val="28"/>
          <w:vertAlign w:val="baseline"/>
          <w:lang w:val="it-IT" w:eastAsia="zh-CN" w:bidi="hi-IN"/>
        </w:rPr>
      </w:pP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La configurazione del filtro del router blocca tutti i collegamenti eccetto quelli che riportano l’idirizzo IP del gateway, questo vuol dire che tutte le connessione di un certo tipo dovranno passare attraverso il gateway.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LibreOffice/6.1.2.1$Linux_X86_64 LibreOffice_project/10$Build-1</Application>
  <Pages>16</Pages>
  <Words>4439</Words>
  <Characters>23150</Characters>
  <CharactersWithSpaces>27431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2019-01-01T20:02:31Z</dcterms:modified>
  <cp:revision>103</cp:revision>
  <dc:subject/>
  <dc:title/>
</cp:coreProperties>
</file>