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Workflow Architecture Review — SWAN Enterprise</w:t>
      </w:r>
    </w:p>
    <w:p>
      <w:r>
        <w:rPr>
          <w:b/>
        </w:rPr>
        <w:t>Scope:</w:t>
      </w:r>
      <w:r>
        <w:t xml:space="preserve"> Compare the generic Workflow Engine against the hand-rolled workflows in SMS Manual, Near Miss, Committee Meetings, NCR, PSC, and Internal/External Audits. Recommend one architecture for the whole application.</w:t>
      </w:r>
    </w:p>
    <w:p>
      <w:r>
        <w:rPr>
          <w:b/>
        </w:rPr>
        <w:t>Recommendation: B — each module continues owning its own workflow.</w:t>
      </w:r>
      <w:r>
        <w:t xml:space="preserve"> The generic engine should remain exactly where it is today (bound to SMS Manual only) rather than become the app-wide standard. Rationale follows.</w:t>
      </w:r>
    </w:p>
    <w:p>
      <w:pPr>
        <w:spacing w:before="40" w:after="200"/>
        <w:pBdr>
          <w:bottom w:val="single" w:sz="6" w:space="1" w:color="BFBFBF"/>
        </w:pBdr>
      </w:pPr>
    </w:p>
    <w:p>
      <w:pPr>
        <w:pStyle w:val="Heading2"/>
      </w:pPr>
      <w:r>
        <w:t>1. What the generic Workflow Engine actually models</w:t>
      </w:r>
    </w:p>
    <w:p>
      <w:r>
        <w:rPr>
          <w:rFonts w:ascii="Consolas" w:hAnsi="Consolas"/>
          <w:sz w:val="20"/>
        </w:rPr>
        <w:t>features/workflow/engine.ts</w:t>
      </w:r>
      <w:r>
        <w:t xml:space="preserve"> + the </w:t>
      </w:r>
      <w:r>
        <w:rPr>
          <w:rFonts w:ascii="Consolas" w:hAnsi="Consolas"/>
          <w:sz w:val="20"/>
        </w:rPr>
        <w:t>WorkflowDefinition</w:t>
      </w:r>
      <w:r>
        <w:t xml:space="preserve"> / </w:t>
      </w:r>
      <w:r>
        <w:rPr>
          <w:rFonts w:ascii="Consolas" w:hAnsi="Consolas"/>
          <w:sz w:val="20"/>
        </w:rPr>
        <w:t>WorkflowStep</w:t>
      </w:r>
      <w:r>
        <w:t xml:space="preserve"> / </w:t>
      </w:r>
      <w:r>
        <w:rPr>
          <w:rFonts w:ascii="Consolas" w:hAnsi="Consolas"/>
          <w:sz w:val="20"/>
        </w:rPr>
        <w:t>WorkflowInstance</w:t>
      </w:r>
      <w:r>
        <w:t xml:space="preserve"> / </w:t>
      </w:r>
      <w:r>
        <w:rPr>
          <w:rFonts w:ascii="Consolas" w:hAnsi="Consolas"/>
          <w:sz w:val="20"/>
        </w:rPr>
        <w:t>WorkflowAction</w:t>
      </w:r>
      <w:r>
        <w:t xml:space="preserve"> Prisma models implement one specific, narrow shape:</w:t>
      </w:r>
    </w:p>
    <w:p>
      <w:pPr>
        <w:ind w:left="432"/>
      </w:pPr>
      <w:r>
        <w:rPr>
          <w:i/>
        </w:rPr>
        <w:t>An ordered chain of named steps. Each step is approved by a fixed authority (a role, a department, or one specific user). A single instance walks the chain **strictly forward**: `act()` records an APPROVE (advance to next step, or finalize APPROVED if last) or a REJECT (finalize REJECTED — terminal, no path back). Admins edit the chain — add/remove/reorder/toggle steps — at **Settings → Workflows**, with no code deploy.</w:t>
      </w:r>
    </w:p>
    <w:p>
      <w:r>
        <w:t xml:space="preserve">This is a </w:t>
      </w:r>
      <w:r>
        <w:rPr>
          <w:b/>
        </w:rPr>
        <w:t>multi-actor sequential sign-off chain</w:t>
      </w:r>
      <w:r>
        <w:t xml:space="preserve"> — the same shape as "this document needs the Chief Officer, then the Master, then the DPA to each say yes." It is a good, clean implementation of that one shape, and it is genuinely admin-configurable: a company can change who signs off, and in what order, without a code change.</w:t>
      </w:r>
    </w:p>
    <w:p>
      <w:r>
        <w:t>It is *not* a general status-machine framework. It has no concept of:</w:t>
      </w:r>
    </w:p>
    <w:p>
      <w:pPr>
        <w:pStyle w:val="ListBullet"/>
      </w:pPr>
      <w:r>
        <w:t xml:space="preserve">A transition gated by a </w:t>
      </w:r>
      <w:r>
        <w:rPr>
          <w:b/>
        </w:rPr>
        <w:t>computed business condition</w:t>
      </w:r>
      <w:r>
        <w:t xml:space="preserve"> rather than a person's decision (e.g. "closeable only once every linked corrective action is closed").</w:t>
      </w:r>
    </w:p>
    <w:p>
      <w:pPr>
        <w:pStyle w:val="ListBullet"/>
      </w:pPr>
      <w:r>
        <w:t xml:space="preserve">A </w:t>
      </w:r>
      <w:r>
        <w:rPr>
          <w:b/>
        </w:rPr>
        <w:t>backward</w:t>
      </w:r>
      <w:r>
        <w:t xml:space="preserve"> transition (reopening a record).</w:t>
      </w:r>
    </w:p>
    <w:p>
      <w:pPr>
        <w:pStyle w:val="ListBullet"/>
      </w:pPr>
      <w:r>
        <w:t xml:space="preserve">A transition that </w:t>
      </w:r>
      <w:r>
        <w:rPr>
          <w:b/>
        </w:rPr>
        <w:t>carries its own payload</w:t>
      </w:r>
      <w:r>
        <w:t xml:space="preserve"> alongside the status change (e.g. per-agenda-item office replies written in the same transaction as the close).</w:t>
      </w:r>
    </w:p>
    <w:p>
      <w:pPr>
        <w:pStyle w:val="ListBullet"/>
      </w:pPr>
      <w:r>
        <w:t xml:space="preserve">Department- or record-ownership-based </w:t>
      </w:r>
      <w:r>
        <w:rPr>
          <w:b/>
        </w:rPr>
        <w:t>visibility</w:t>
      </w:r>
      <w:r>
        <w:t xml:space="preserve"> rules (who can even see a DRAFT).</w:t>
      </w:r>
    </w:p>
    <w:p>
      <w:pPr>
        <w:pStyle w:val="Heading2"/>
      </w:pPr>
      <w:r>
        <w:t>2. Current adoption: one consumer, by design fit — not by oversight</w:t>
      </w:r>
    </w:p>
    <w:p>
      <w:r>
        <w:t xml:space="preserve">Grepping the whole repo for imports of </w:t>
      </w:r>
      <w:r>
        <w:rPr>
          <w:rFonts w:ascii="Consolas" w:hAnsi="Consolas"/>
          <w:sz w:val="20"/>
        </w:rPr>
        <w:t>startInstance</w:t>
      </w:r>
      <w:r>
        <w:t xml:space="preserve"> / </w:t>
      </w:r>
      <w:r>
        <w:rPr>
          <w:rFonts w:ascii="Consolas" w:hAnsi="Consolas"/>
          <w:sz w:val="20"/>
        </w:rPr>
        <w:t>getActiveInstance</w:t>
      </w:r>
      <w:r>
        <w:t xml:space="preserve"> / </w:t>
      </w:r>
      <w:r>
        <w:rPr>
          <w:rFonts w:ascii="Consolas" w:hAnsi="Consolas"/>
          <w:sz w:val="20"/>
        </w:rPr>
        <w:t>act</w:t>
      </w:r>
      <w:r>
        <w:t xml:space="preserve"> from </w:t>
      </w:r>
      <w:r>
        <w:rPr>
          <w:rFonts w:ascii="Consolas" w:hAnsi="Consolas"/>
          <w:sz w:val="20"/>
        </w:rPr>
        <w:t>features/workflow/engine</w:t>
      </w:r>
      <w:r>
        <w:t xml:space="preserve"> turns up exactly:</w:t>
      </w:r>
    </w:p>
    <w:p>
      <w:pPr>
        <w:spacing w:after="120"/>
      </w:pPr>
      <w:r>
        <w:rPr>
          <w:rFonts w:ascii="Consolas" w:hAnsi="Consolas"/>
          <w:sz w:val="18"/>
        </w:rPr>
        <w:t>features/sms-manual/actions.ts   ← the only business-logic consumer</w:t>
        <w:br/>
        <w:t>app/(app)/settings/workflows/*   ← the admin UI for the engine itself</w:t>
      </w:r>
    </w:p>
    <w:p>
      <w:r>
        <w:t xml:space="preserve">No other module — Near Miss, Committee Meetings, NCR, PSC, Internal Audits, External Audits, SIRE, CDI, Incidents, Risk, Defects, Drills — touches the engine. </w:t>
      </w:r>
      <w:r>
        <w:rPr>
          <w:rFonts w:ascii="Consolas" w:hAnsi="Consolas"/>
          <w:sz w:val="20"/>
        </w:rPr>
        <w:t>docs/ARCHITECTURE.md</w:t>
      </w:r>
      <w:r>
        <w:t xml:space="preserve"> still describes it as the pattern "any future module binds to the same way," but in practice every module built since SMS has bypassed it. </w:t>
      </w:r>
      <w:r>
        <w:rPr>
          <w:rFonts w:ascii="Consolas" w:hAnsi="Consolas"/>
          <w:sz w:val="20"/>
        </w:rPr>
        <w:t>BUSINESS_CONSISTENCY.md</w:t>
      </w:r>
      <w:r>
        <w:t xml:space="preserve"> §5 flagged this same gap and left the decision open — this report closes it.</w:t>
      </w:r>
    </w:p>
    <w:p>
      <w:r>
        <w:rPr>
          <w:b/>
        </w:rPr>
        <w:t>Why SMS fits and the others don't:</w:t>
      </w:r>
      <w:r>
        <w:t xml:space="preserve"> SMS Manual's real workflow *is* "N reviewers sign off in sequence, authority varies by company policy" — that is precisely what a Document Control procedure requires, and precisely what the engine models. Approve/reject authorization in </w:t>
      </w:r>
      <w:r>
        <w:rPr>
          <w:rFonts w:ascii="Consolas" w:hAnsi="Consolas"/>
          <w:sz w:val="20"/>
        </w:rPr>
        <w:t>sms-manual/actions.ts</w:t>
      </w:r>
      <w:r>
        <w:t xml:space="preserve"> is delegated entirely to the engine's </w:t>
      </w:r>
      <w:r>
        <w:rPr>
          <w:rFonts w:ascii="Consolas" w:hAnsi="Consolas"/>
          <w:sz w:val="20"/>
        </w:rPr>
        <w:t>canAct()</w:t>
      </w:r>
      <w:r>
        <w:t xml:space="preserve"> (role/department/specific-user match against the *current step*) — </w:t>
      </w:r>
      <w:r>
        <w:rPr>
          <w:rFonts w:ascii="Consolas" w:hAnsi="Consolas"/>
          <w:sz w:val="20"/>
        </w:rPr>
        <w:t>sms:approve</w:t>
      </w:r>
      <w:r>
        <w:t xml:space="preserve"> exists only as a catalog entry in </w:t>
      </w:r>
      <w:r>
        <w:rPr>
          <w:rFonts w:ascii="Consolas" w:hAnsi="Consolas"/>
          <w:sz w:val="20"/>
        </w:rPr>
        <w:t>lib/permissions.ts</w:t>
      </w:r>
      <w:r>
        <w:t xml:space="preserve"> and is never checked by </w:t>
      </w:r>
      <w:r>
        <w:rPr>
          <w:rFonts w:ascii="Consolas" w:hAnsi="Consolas"/>
          <w:sz w:val="20"/>
        </w:rPr>
        <w:t>requirePermission()</w:t>
      </w:r>
      <w:r>
        <w:t>. That is correct: who may approve a document depends on which step of *which chain* is active, not on a single static permission.</w:t>
      </w:r>
    </w:p>
    <w:p>
      <w:pPr>
        <w:pStyle w:val="Heading2"/>
      </w:pPr>
      <w:r>
        <w:t>3. What every other module's "workflow" actually is</w:t>
      </w:r>
    </w:p>
    <w:p>
      <w:r>
        <w:t xml:space="preserve">None of the other five workflows are actor-approval chains. Each is a </w:t>
      </w:r>
      <w:r>
        <w:rPr>
          <w:b/>
        </w:rPr>
        <w:t>record lifecycle enforcing an SMS-mandated invariant</w:t>
      </w:r>
      <w:r>
        <w:t>, where the gate is a computed condition, not a person's yes/no: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864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160"/>
            <w:shd w:fill="1F3864"/>
          </w:tcPr>
          <w:p>
            <w:r>
              <w:rPr>
                <w:b/>
              </w:rPr>
            </w:r>
            <w:r>
              <w:rPr>
                <w:b/>
              </w:rPr>
              <w:t>States</w:t>
            </w:r>
          </w:p>
        </w:tc>
        <w:tc>
          <w:tcPr>
            <w:tcW w:type="dxa" w:w="2160"/>
            <w:shd w:fill="1F3864"/>
          </w:tcPr>
          <w:p>
            <w:r>
              <w:rPr>
                <w:b/>
              </w:rPr>
            </w:r>
            <w:r>
              <w:rPr>
                <w:b/>
              </w:rPr>
              <w:t>What actually gates the terminal transition</w:t>
            </w:r>
          </w:p>
        </w:tc>
        <w:tc>
          <w:tcPr>
            <w:tcW w:type="dxa" w:w="2160"/>
            <w:shd w:fill="1F3864"/>
          </w:tcPr>
          <w:p>
            <w:r>
              <w:rPr>
                <w:b/>
              </w:rPr>
            </w:r>
            <w:r>
              <w:rPr>
                <w:b/>
              </w:rPr>
              <w:t>Shape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Near Miss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DRAFT → REPORTED → UNDER_REVIEW → CLOSED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nm:close</w:t>
            </w:r>
            <w:r>
              <w:t xml:space="preserve"> permission </w:t>
            </w:r>
            <w:r>
              <w:rPr>
                <w:b/>
              </w:rPr>
              <w:t>and</w:t>
            </w:r>
            <w:r>
              <w:t xml:space="preserve"> all linked CAPA rows closed</w:t>
            </w:r>
          </w:p>
        </w:tc>
        <w:tc>
          <w:tcPr>
            <w:tcW w:type="dxa" w:w="2160"/>
          </w:tcPr>
          <w:p>
            <w:r/>
            <w:r>
              <w:t>Linear index-walk (</w:t>
            </w:r>
            <w:r>
              <w:rPr>
                <w:rFonts w:ascii="Consolas" w:hAnsi="Consolas"/>
                <w:sz w:val="20"/>
              </w:rPr>
              <w:t>NM_STATUSES.indexOf</w:t>
            </w:r>
            <w:r>
              <w:t>), ship reports / office reviews-and-closes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Committee Meetings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DRAFT → REPORTED → CLOSED</w:t>
            </w:r>
            <w:r>
              <w:t xml:space="preserve">, plus a </w:t>
            </w:r>
            <w:r>
              <w:rPr>
                <w:b/>
              </w:rPr>
              <w:t>backward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revertMeetingToDraftAction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meeting:close</w:t>
            </w:r>
            <w:r>
              <w:t xml:space="preserve">; </w:t>
            </w:r>
            <w:r>
              <w:rPr>
                <w:b/>
              </w:rPr>
              <w:t>atomic</w:t>
            </w:r>
            <w:r>
              <w:t xml:space="preserve"> single-transaction write of </w:t>
            </w:r>
            <w:r>
              <w:rPr>
                <w:rFonts w:ascii="Consolas" w:hAnsi="Consolas"/>
                <w:sz w:val="20"/>
              </w:rPr>
              <w:t>shoreRemarks</w:t>
            </w:r>
            <w:r>
              <w:t xml:space="preserve"> + per-agenda-item </w:t>
            </w:r>
            <w:r>
              <w:rPr>
                <w:rFonts w:ascii="Consolas" w:hAnsi="Consolas"/>
                <w:sz w:val="20"/>
              </w:rPr>
              <w:t>shoreComments</w:t>
            </w:r>
            <w:r>
              <w:t xml:space="preserve"> + </w:t>
            </w:r>
            <w:r>
              <w:rPr>
                <w:rFonts w:ascii="Consolas" w:hAnsi="Consolas"/>
                <w:sz w:val="20"/>
              </w:rPr>
              <w:t>status: CLOSED</w:t>
            </w:r>
            <w:r>
              <w:t xml:space="preserve"> + </w:t>
            </w:r>
            <w:r>
              <w:rPr>
                <w:rFonts w:ascii="Consolas" w:hAnsi="Consolas"/>
                <w:sz w:val="20"/>
              </w:rPr>
              <w:t>closedAt</w:t>
            </w:r>
            <w:r>
              <w:t xml:space="preserve"> together</w:t>
            </w:r>
          </w:p>
        </w:tc>
        <w:tc>
          <w:tcPr>
            <w:tcW w:type="dxa" w:w="2160"/>
          </w:tcPr>
          <w:p>
            <w:r/>
            <w:r>
              <w:t>Named per-transition functions, not an index-walk; genuinely non-linear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NCR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OPEN → SUBMITTED_TO_OFFICE → CLOSED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ncr:close</w:t>
            </w:r>
            <w:r>
              <w:t>; root cause recorded; all linked CAPA rows closed</w:t>
            </w:r>
          </w:p>
        </w:tc>
        <w:tc>
          <w:tcPr>
            <w:tcW w:type="dxa" w:w="2160"/>
          </w:tcPr>
          <w:p>
            <w:r/>
            <w:r>
              <w:t>Linear index-walk, submission is a side effect of saving root cause (no separate "submit" click)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PSC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OPEN → IN_PROGRESS → CLOSED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psc:close</w:t>
            </w:r>
            <w:r>
              <w:t xml:space="preserve">; every deficiency has ≥1 CAPA row and all are closed (deficiencies linked to an NCR check CAPA under </w:t>
            </w:r>
            <w:r>
              <w:rPr>
                <w:rFonts w:ascii="Consolas" w:hAnsi="Consolas"/>
                <w:sz w:val="20"/>
              </w:rPr>
              <w:t>NonConformity</w:t>
            </w:r>
            <w:r>
              <w:t xml:space="preserve"> instead)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IN_PROGRESS</w:t>
            </w:r>
            <w:r>
              <w:t xml:space="preserve"> is an automatic side effect of adding the first deficiency — nobody "decides" that transition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Internal/External Audits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OPEN → IN_PROGRESS → CLOSED</w:t>
            </w:r>
          </w:p>
        </w:tc>
        <w:tc>
          <w:tcPr>
            <w:tcW w:type="dxa" w:w="2160"/>
          </w:tcPr>
          <w:p>
            <w:r/>
            <w:r>
              <w:t xml:space="preserve">Same CAPA-resolution loop as PSC; a finding's own "resolved" state is </w:t>
            </w:r>
            <w:r>
              <w:rPr>
                <w:b/>
              </w:rPr>
              <w:t>computed</w:t>
            </w:r>
            <w:r>
              <w:t xml:space="preserve"> from its CAPA rows, never stored, specifically to avoid drift (see schema comment at </w:t>
            </w:r>
            <w:r>
              <w:rPr>
                <w:rFonts w:ascii="Consolas" w:hAnsi="Consolas"/>
                <w:sz w:val="20"/>
              </w:rPr>
              <w:t>InternalAuditFinding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Same implicit-bump shape as PSC</w:t>
            </w:r>
          </w:p>
        </w:tc>
      </w:tr>
    </w:tbl>
    <w:p/>
    <w:p>
      <w:r>
        <w:t>Two structural facts fall out of this table and matter for the decision:</w:t>
      </w:r>
    </w:p>
    <w:p>
      <w:pPr>
        <w:pStyle w:val="ListNumber"/>
      </w:pPr>
      <w:r>
        <w:rPr>
          <w:b/>
        </w:rPr>
        <w:t>The real gate everywhere except SMS is "is the linked corrective-action work actually done?", not "did an approver click yes."</w:t>
      </w:r>
      <w:r>
        <w:t xml:space="preserve"> Forcing this through the engine would mean either (a) inventing a new step-approver type that means "computed condition met" — a change to the shared engine's core model, or (b) checking the CAPA condition in module code *before* calling the engine, at which point the module still owns its real logic and the engine is a redundant status mirror on top.</w:t>
      </w:r>
    </w:p>
    <w:p>
      <w:pPr>
        <w:pStyle w:val="ListNumber"/>
      </w:pPr>
      <w:r>
        <w:rPr>
          <w:b/>
        </w:rPr>
        <w:t>Committee Meetings' backward revert-to-draft and atomic multi-field close have no equivalent in the engine at all.</w:t>
      </w:r>
      <w:r>
        <w:t xml:space="preserve"> The engine's </w:t>
      </w:r>
      <w:r>
        <w:rPr>
          <w:rFonts w:ascii="Consolas" w:hAnsi="Consolas"/>
          <w:sz w:val="20"/>
        </w:rPr>
        <w:t>act()</w:t>
      </w:r>
      <w:r>
        <w:t xml:space="preserve"> only ever moves forward or terminates; adding "go back a step" or "write arbitrary side-payload with the transition" are both changes to the shared component, which every other consumer (SMS) would then also carry the risk surface of, for a need only one module has.</w:t>
      </w:r>
    </w:p>
    <w:p>
      <w:pPr>
        <w:pStyle w:val="Heading2"/>
      </w:pPr>
      <w:r>
        <w:t>4. Comparison</w:t>
      </w:r>
    </w:p>
    <w:p>
      <w:pPr>
        <w:pStyle w:val="Heading3"/>
      </w:pPr>
      <w:r>
        <w:t>Maintainability</w:t>
      </w:r>
    </w:p>
    <w:p>
      <w:pPr>
        <w:pStyle w:val="ListBullet"/>
      </w:pPr>
      <w:r>
        <w:rPr>
          <w:b/>
        </w:rPr>
        <w:t>A (universal engine):</w:t>
      </w:r>
      <w:r>
        <w:t xml:space="preserve"> Would remove the duplicated </w:t>
      </w:r>
      <w:r>
        <w:rPr>
          <w:rFonts w:ascii="Consolas" w:hAnsi="Consolas"/>
          <w:sz w:val="20"/>
        </w:rPr>
        <w:t>nextStatus()</w:t>
      </w:r>
      <w:r>
        <w:t>/</w:t>
      </w:r>
      <w:r>
        <w:rPr>
          <w:rFonts w:ascii="Consolas" w:hAnsi="Consolas"/>
          <w:sz w:val="20"/>
        </w:rPr>
        <w:t>nextOf()</w:t>
      </w:r>
      <w:r>
        <w:t xml:space="preserve"> index-walk helpers (currently re-declared per module, once server-side in </w:t>
      </w:r>
      <w:r>
        <w:rPr>
          <w:rFonts w:ascii="Consolas" w:hAnsi="Consolas"/>
          <w:sz w:val="20"/>
        </w:rPr>
        <w:t>actions.ts</w:t>
      </w:r>
      <w:r>
        <w:t xml:space="preserve"> and again client-side in the page as </w:t>
      </w:r>
      <w:r>
        <w:rPr>
          <w:rFonts w:ascii="Consolas" w:hAnsi="Consolas"/>
          <w:sz w:val="20"/>
        </w:rPr>
        <w:t>nextOf()</w:t>
      </w:r>
      <w:r>
        <w:t>). But it would not remove the CAPA-resolution loop, the root-cause gate, or the computed finding-resolution logic — those stay in module code regardless, *plus* a new translation layer to the engine, *plus* seed data (</w:t>
      </w:r>
      <w:r>
        <w:rPr>
          <w:rFonts w:ascii="Consolas" w:hAnsi="Consolas"/>
          <w:sz w:val="20"/>
        </w:rPr>
        <w:t>WorkflowDefinition</w:t>
      </w:r>
      <w:r>
        <w:t>/</w:t>
      </w:r>
      <w:r>
        <w:rPr>
          <w:rFonts w:ascii="Consolas" w:hAnsi="Consolas"/>
          <w:sz w:val="20"/>
        </w:rPr>
        <w:t>WorkflowStep</w:t>
      </w:r>
      <w:r>
        <w:t xml:space="preserve"> rows) that must stay in sync with the hardcoded gates. Net: two sources of truth (seeded chain + code-side business gate) per module instead of one.</w:t>
      </w:r>
    </w:p>
    <w:p>
      <w:pPr>
        <w:pStyle w:val="ListBullet"/>
      </w:pPr>
      <w:r>
        <w:rPr>
          <w:b/>
        </w:rPr>
        <w:t>B (bespoke, status quo):</w:t>
      </w:r>
      <w:r>
        <w:t xml:space="preserve"> Duplication is real but shallow and mechanical (an index into a status array; a copy-pasted tone function — the latter was already centralized this session into </w:t>
      </w:r>
      <w:r>
        <w:rPr>
          <w:rFonts w:ascii="Consolas" w:hAnsi="Consolas"/>
          <w:sz w:val="20"/>
        </w:rPr>
        <w:t>lib/status.ts</w:t>
      </w:r>
      <w:r>
        <w:t>). The actual business logic lives in exactly one place per module, directly readable without cross-referencing seeded config.</w:t>
      </w:r>
    </w:p>
    <w:p>
      <w:pPr>
        <w:pStyle w:val="ListBullet"/>
      </w:pPr>
      <w:r>
        <w:rPr>
          <w:b/>
        </w:rPr>
        <w:t>Edge:</w:t>
      </w:r>
      <w:r>
        <w:t xml:space="preserve"> B, once the shallow duplication (</w:t>
      </w:r>
      <w:r>
        <w:rPr>
          <w:rFonts w:ascii="Consolas" w:hAnsi="Consolas"/>
          <w:sz w:val="20"/>
        </w:rPr>
        <w:t>nextOf</w:t>
      </w:r>
      <w:r>
        <w:t>/</w:t>
      </w:r>
      <w:r>
        <w:rPr>
          <w:rFonts w:ascii="Consolas" w:hAnsi="Consolas"/>
          <w:sz w:val="20"/>
        </w:rPr>
        <w:t>nextStatus</w:t>
      </w:r>
      <w:r>
        <w:t>) is optionally extracted into a small shared helper — see §6.</w:t>
      </w:r>
    </w:p>
    <w:p>
      <w:pPr>
        <w:pStyle w:val="Heading3"/>
      </w:pPr>
      <w:r>
        <w:t>Complexity</w:t>
      </w:r>
    </w:p>
    <w:p>
      <w:pPr>
        <w:pStyle w:val="ListBullet"/>
      </w:pPr>
      <w:r>
        <w:rPr>
          <w:b/>
        </w:rPr>
        <w:t>A:</w:t>
      </w:r>
      <w:r>
        <w:t xml:space="preserve"> Adds a second vocabulary everywhere (</w:t>
      </w:r>
      <w:r>
        <w:rPr>
          <w:rFonts w:ascii="Consolas" w:hAnsi="Consolas"/>
          <w:sz w:val="20"/>
        </w:rPr>
        <w:t>WorkflowInstance.status</w:t>
      </w:r>
      <w:r>
        <w:t>: DRAFT/IN_PROGRESS/APPROVED/REJECTED/CANCELLED) that must be reconciled with each entity's own domain status (</w:t>
      </w:r>
      <w:r>
        <w:rPr>
          <w:rFonts w:ascii="Consolas" w:hAnsi="Consolas"/>
          <w:sz w:val="20"/>
        </w:rPr>
        <w:t>NcrStatus</w:t>
      </w:r>
      <w:r>
        <w:t xml:space="preserve">, </w:t>
      </w:r>
      <w:r>
        <w:rPr>
          <w:rFonts w:ascii="Consolas" w:hAnsi="Consolas"/>
          <w:sz w:val="20"/>
        </w:rPr>
        <w:t>NearMissStatus</w:t>
      </w:r>
      <w:r>
        <w:t>, …) — SMS already carries this dual-state cost today. Extending the engine to support computed-condition steps and backward transitions adds permanent complexity to a shared component for the benefit of a subset of modules.</w:t>
      </w:r>
    </w:p>
    <w:p>
      <w:pPr>
        <w:pStyle w:val="ListBullet"/>
      </w:pPr>
      <w:r>
        <w:rPr>
          <w:b/>
        </w:rPr>
        <w:t>B:</w:t>
      </w:r>
      <w:r>
        <w:t xml:space="preserve"> Complexity is local and proportional — a module with a real CAPA gate has CAPA-gate code; a module without one doesn't carry engine machinery it doesn't need.</w:t>
      </w:r>
    </w:p>
    <w:p>
      <w:pPr>
        <w:pStyle w:val="ListBullet"/>
      </w:pPr>
      <w:r>
        <w:rPr>
          <w:b/>
        </w:rPr>
        <w:t>Edge:</w:t>
      </w:r>
      <w:r>
        <w:t xml:space="preserve"> B.</w:t>
      </w:r>
    </w:p>
    <w:p>
      <w:pPr>
        <w:pStyle w:val="Heading3"/>
      </w:pPr>
      <w:r>
        <w:t>Performance</w:t>
      </w:r>
    </w:p>
    <w:p>
      <w:pPr>
        <w:pStyle w:val="ListBullet"/>
      </w:pPr>
      <w:r>
        <w:rPr>
          <w:b/>
        </w:rPr>
        <w:t>A:</w:t>
      </w:r>
      <w:r>
        <w:t xml:space="preserve"> Every transition becomes a </w:t>
      </w:r>
      <w:r>
        <w:rPr>
          <w:rFonts w:ascii="Consolas" w:hAnsi="Consolas"/>
          <w:sz w:val="20"/>
        </w:rPr>
        <w:t>WorkflowInstance</w:t>
      </w:r>
      <w:r>
        <w:t xml:space="preserve"> + </w:t>
      </w:r>
      <w:r>
        <w:rPr>
          <w:rFonts w:ascii="Consolas" w:hAnsi="Consolas"/>
          <w:sz w:val="20"/>
        </w:rPr>
        <w:t>WorkflowStep</w:t>
      </w:r>
      <w:r>
        <w:t xml:space="preserve"> join plus a </w:t>
      </w:r>
      <w:r>
        <w:rPr>
          <w:rFonts w:ascii="Consolas" w:hAnsi="Consolas"/>
          <w:sz w:val="20"/>
        </w:rPr>
        <w:t>WorkflowAction</w:t>
      </w:r>
      <w:r>
        <w:t xml:space="preserve"> insert inside a transaction, versus today's single-row </w:t>
      </w:r>
      <w:r>
        <w:rPr>
          <w:rFonts w:ascii="Consolas" w:hAnsi="Consolas"/>
          <w:sz w:val="20"/>
        </w:rPr>
        <w:t>update()</w:t>
      </w:r>
      <w:r>
        <w:t>. On SQLite (single-writer), that's more lock time per transition across every module, for modules that never needed multi-step sequencing in the first place.</w:t>
      </w:r>
    </w:p>
    <w:p>
      <w:pPr>
        <w:pStyle w:val="ListBullet"/>
      </w:pPr>
      <w:r>
        <w:rPr>
          <w:b/>
        </w:rPr>
        <w:t>B:</w:t>
      </w:r>
      <w:r>
        <w:t xml:space="preserve"> Minimal, direct writes already in place.</w:t>
      </w:r>
    </w:p>
    <w:p>
      <w:pPr>
        <w:pStyle w:val="ListBullet"/>
      </w:pPr>
      <w:r>
        <w:rPr>
          <w:b/>
        </w:rPr>
        <w:t>Edge:</w:t>
      </w:r>
      <w:r>
        <w:t xml:space="preserve"> B (though the absolute difference is small at current data volumes — this is a minor factor, not the deciding one).</w:t>
      </w:r>
    </w:p>
    <w:p>
      <w:pPr>
        <w:pStyle w:val="Heading3"/>
      </w:pPr>
      <w:r>
        <w:t>Flexibility</w:t>
      </w:r>
    </w:p>
    <w:p>
      <w:pPr>
        <w:pStyle w:val="ListBullet"/>
      </w:pPr>
      <w:r>
        <w:rPr>
          <w:b/>
        </w:rPr>
        <w:t>A's one genuine strength:</w:t>
      </w:r>
      <w:r>
        <w:t xml:space="preserve"> admin-editable chains with no code deploy — real value when the *identity of the approver* is a business policy that legitimately varies (SMS review chain today, potentially "who chairs this committee" tomorrow).</w:t>
      </w:r>
    </w:p>
    <w:p>
      <w:pPr>
        <w:pStyle w:val="ListBullet"/>
      </w:pPr>
      <w:r>
        <w:rPr>
          <w:b/>
        </w:rPr>
        <w:t>Where that flexibility is a liability, not a feature:</w:t>
      </w:r>
      <w:r>
        <w:t xml:space="preserve"> NCR/Near Miss/PSC/Audit closure rules ("closed only once every linked CAPA is closed") are SMS-mandated compliance invariants, not tunable business policy. Exposing them through the same generic "admin reconfigures the chain" UI would let a company accidentally configure a chain that permits closing an NCR without CAPA closure — a compliance regression the current hardcoded gate cannot suffer.</w:t>
      </w:r>
    </w:p>
    <w:p>
      <w:pPr>
        <w:pStyle w:val="ListBullet"/>
      </w:pPr>
      <w:r>
        <w:rPr>
          <w:b/>
        </w:rPr>
        <w:t>Edge:</w:t>
      </w:r>
      <w:r>
        <w:t xml:space="preserve"> Context-dependent — this is the strongest argument *for* A in the abstract, but it only actually helps the one module (SMS) whose transitions are genuinely a configurable sign-off chain.</w:t>
      </w:r>
    </w:p>
    <w:p>
      <w:pPr>
        <w:pStyle w:val="Heading3"/>
      </w:pPr>
      <w:r>
        <w:t>Business suitability</w:t>
      </w:r>
    </w:p>
    <w:p>
      <w:pPr>
        <w:pStyle w:val="ListBullet"/>
      </w:pPr>
      <w:r>
        <w:t xml:space="preserve">Per </w:t>
      </w:r>
      <w:r>
        <w:rPr>
          <w:rFonts w:ascii="Consolas" w:hAnsi="Consolas"/>
          <w:sz w:val="20"/>
        </w:rPr>
        <w:t>CLAUDE.md</w:t>
      </w:r>
      <w:r>
        <w:t>: *"The SMS Manual governs. The ERP enforces it; it never contradicts it."* The five non-SMS workflows all enforce fixed SMS procedure (CAPA must close before the finding/NCR/near-miss closes) — that belongs in code as an invariant, not in an admin-editable chain that could be reconfigured away from the procedure it's supposed to enforce.</w:t>
      </w:r>
    </w:p>
    <w:p>
      <w:pPr>
        <w:pStyle w:val="ListBullet"/>
      </w:pPr>
      <w:r>
        <w:t>SMS Manual's workflow is the one case in the app where "who approves, in what order" is itself the business content of a company-specific procedure — exactly what the engine is for.</w:t>
      </w:r>
    </w:p>
    <w:p>
      <w:pPr>
        <w:pStyle w:val="ListBullet"/>
      </w:pPr>
      <w:r>
        <w:rPr>
          <w:b/>
        </w:rPr>
        <w:t>Edge:</w:t>
      </w:r>
      <w:r>
        <w:t xml:space="preserve"> B for the five compliance-invariant modules; A (i.e., today's status quo) for SMS.</w:t>
      </w:r>
    </w:p>
    <w:p>
      <w:pPr>
        <w:pStyle w:val="Heading2"/>
      </w:pPr>
      <w:r>
        <w:t>5. Why "B" and not a forced migration to "A"</w:t>
      </w:r>
    </w:p>
    <w:p>
      <w:r>
        <w:t>Migrating Near Miss, Committee Meetings, NCR, PSC, or the Audits onto the generic engine would require extending the engine's core model (computed-condition steps, backward transitions, atomic side-payload writes) to fit shapes it wasn't built for — at which point every existing and future consumer, including SMS, inherits the complexity and risk of a more general-purpose (and more failure-prone) shared component, in exchange for admin-configurability that these five modules should not have in the first place, since their transition rules are compliance invariants, not adjustable policy.</w:t>
      </w:r>
    </w:p>
    <w:p>
      <w:r>
        <w:t>The clean architectural line is:</w:t>
      </w:r>
    </w:p>
    <w:p>
      <w:pPr>
        <w:pStyle w:val="ListBullet"/>
      </w:pPr>
      <w:r>
        <w:rPr>
          <w:b/>
        </w:rPr>
        <w:t>Use the generic engine</w:t>
      </w:r>
      <w:r>
        <w:t xml:space="preserve"> when a module's real need is *"N actors sign off in a company-configurable sequence."* Today that's SMS Manual only.</w:t>
      </w:r>
    </w:p>
    <w:p>
      <w:pPr>
        <w:pStyle w:val="ListBullet"/>
      </w:pPr>
      <w:r>
        <w:rPr>
          <w:b/>
        </w:rPr>
        <w:t>Keep a module-owned, hardcoded workflow</w:t>
      </w:r>
      <w:r>
        <w:t xml:space="preserve"> when the real need is *"enforce a fixed SMS procedure via computed conditions and permission-gated actions."* That's Near Miss, Committee Meetings, NCR, PSC, and both Audit modules today — and should be the default assumption for any new module unless it specifically turns out to need a configurable multi-actor sign-off chain.</w:t>
      </w:r>
    </w:p>
    <w:p>
      <w:pPr>
        <w:pStyle w:val="Heading2"/>
      </w:pPr>
      <w:r>
        <w:t>6. Recommendation detail (no code changes made — this is guidance for future work)</w:t>
      </w:r>
    </w:p>
    <w:p>
      <w:pPr>
        <w:pStyle w:val="ListNumber"/>
      </w:pPr>
      <w:r>
        <w:rPr>
          <w:b/>
        </w:rPr>
        <w:t>Keep the engine as-is, bound to SMS Manual only.</w:t>
      </w:r>
      <w:r>
        <w:t xml:space="preserve"> Do not deprecate it — it is well-built for its one real use case and may fit a genuinely new future need (e.g., if a Change-of-Management or Permit-to-Work module ever needs a company-configurable multi-role sign-off chain).</w:t>
      </w:r>
    </w:p>
    <w:p>
      <w:pPr>
        <w:pStyle w:val="ListNumber"/>
      </w:pPr>
      <w:r>
        <w:rPr>
          <w:b/>
        </w:rPr>
        <w:t>Update `docs/ARCHITECTURE.md`</w:t>
      </w:r>
      <w:r>
        <w:t xml:space="preserve"> to stop presenting "any future module binds to the engine" as the default recipe. Replace it with: *bind to the engine only when the module's real workflow is a configurable multi-actor sign-off chain; otherwise follow the module-owned pattern used by Near Miss / NCR / PSC / Audits.*</w:t>
      </w:r>
    </w:p>
    <w:p>
      <w:pPr>
        <w:pStyle w:val="ListNumber"/>
      </w:pPr>
      <w:r>
        <w:rPr>
          <w:b/>
        </w:rPr>
        <w:t>Optional, low-risk cleanup</w:t>
      </w:r>
      <w:r>
        <w:t xml:space="preserve"> (does not require adopting the engine): extract the repeated </w:t>
      </w:r>
      <w:r>
        <w:rPr>
          <w:rFonts w:ascii="Consolas" w:hAnsi="Consolas"/>
          <w:sz w:val="20"/>
        </w:rPr>
        <w:t>nextStatus()</w:t>
      </w:r>
      <w:r>
        <w:t xml:space="preserve"> (server) / </w:t>
      </w:r>
      <w:r>
        <w:rPr>
          <w:rFonts w:ascii="Consolas" w:hAnsi="Consolas"/>
          <w:sz w:val="20"/>
        </w:rPr>
        <w:t>nextOf()</w:t>
      </w:r>
      <w:r>
        <w:t xml:space="preserve"> (page) index-walk pattern — currently re-declared near-identically in </w:t>
      </w:r>
      <w:r>
        <w:rPr>
          <w:rFonts w:ascii="Consolas" w:hAnsi="Consolas"/>
          <w:sz w:val="20"/>
        </w:rPr>
        <w:t>near-miss/actions.ts</w:t>
      </w:r>
      <w:r>
        <w:t xml:space="preserve">, </w:t>
      </w:r>
      <w:r>
        <w:rPr>
          <w:rFonts w:ascii="Consolas" w:hAnsi="Consolas"/>
          <w:sz w:val="20"/>
        </w:rPr>
        <w:t>non-conformities/actions.ts</w:t>
      </w:r>
      <w:r>
        <w:t xml:space="preserve">, and four page files — into one small shared helper (e.g. </w:t>
      </w:r>
      <w:r>
        <w:rPr>
          <w:rFonts w:ascii="Consolas" w:hAnsi="Consolas"/>
          <w:sz w:val="20"/>
        </w:rPr>
        <w:t>lib/status.ts</w:t>
      </w:r>
      <w:r>
        <w:t xml:space="preserve">, which already hosts </w:t>
      </w:r>
      <w:r>
        <w:rPr>
          <w:rFonts w:ascii="Consolas" w:hAnsi="Consolas"/>
          <w:sz w:val="20"/>
        </w:rPr>
        <w:t>lifecycleStatusTone</w:t>
      </w:r>
      <w:r>
        <w:t>/</w:t>
      </w:r>
      <w:r>
        <w:rPr>
          <w:rFonts w:ascii="Consolas" w:hAnsi="Consolas"/>
          <w:sz w:val="20"/>
        </w:rPr>
        <w:t>LIFECYCLE_TONE</w:t>
      </w:r>
      <w:r>
        <w:t xml:space="preserve"> from this session's refactor). This removes the one piece of *genuine, mechanical* duplication across these modules without touching any module's actual business gating logic.</w:t>
      </w:r>
    </w:p>
    <w:p>
      <w:pPr>
        <w:pStyle w:val="ListNumber"/>
      </w:pPr>
      <w:r>
        <w:rPr>
          <w:b/>
        </w:rPr>
        <w:t>Leave the CAPA-resolution loop, root-cause gate, and computed finding-resolution logic exactly where they are</w:t>
      </w:r>
      <w:r>
        <w:t xml:space="preserve"> (module-owned </w:t>
      </w:r>
      <w:r>
        <w:rPr>
          <w:rFonts w:ascii="Consolas" w:hAnsi="Consolas"/>
          <w:sz w:val="20"/>
        </w:rPr>
        <w:t>actions.ts</w:t>
      </w:r>
      <w:r>
        <w:t>), since they are SMS-procedure invariants, not policy the engine should ever mediate.</w:t>
      </w:r>
    </w:p>
    <w:p>
      <w:pPr>
        <w:pStyle w:val="Heading2"/>
      </w:pPr>
      <w:r>
        <w:t>Appendix — files reviewed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864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2160"/>
            <w:shd w:fill="1F3864"/>
          </w:tcPr>
          <w:p>
            <w:r>
              <w:rPr>
                <w:b/>
              </w:rPr>
            </w:r>
            <w:r>
              <w:rPr>
                <w:b/>
              </w:rPr>
              <w:t>Lines</w:t>
            </w:r>
          </w:p>
        </w:tc>
        <w:tc>
          <w:tcPr>
            <w:tcW w:type="dxa" w:w="2160"/>
            <w:shd w:fill="1F3864"/>
          </w:tcPr>
          <w:p>
            <w:r>
              <w:rPr>
                <w:b/>
              </w:rPr>
            </w:r>
            <w:r>
              <w:rPr>
                <w:b/>
              </w:rPr>
              <w:t>Hand-rolled transition logic?</w:t>
            </w:r>
          </w:p>
        </w:tc>
        <w:tc>
          <w:tcPr>
            <w:tcW w:type="dxa" w:w="2160"/>
            <w:shd w:fill="1F3864"/>
          </w:tcPr>
          <w:p>
            <w:r>
              <w:rPr>
                <w:b/>
              </w:rPr>
            </w:r>
            <w:r>
              <w:rPr>
                <w:b/>
              </w:rPr>
              <w:t>Uses generic engine?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features/workflow/engine.ts</w:t>
            </w:r>
          </w:p>
        </w:tc>
        <w:tc>
          <w:tcPr>
            <w:tcW w:type="dxa" w:w="2160"/>
          </w:tcPr>
          <w:p>
            <w:r/>
            <w:r>
              <w:t>191</w:t>
            </w:r>
          </w:p>
        </w:tc>
        <w:tc>
          <w:tcPr>
            <w:tcW w:type="dxa" w:w="2160"/>
          </w:tcPr>
          <w:p>
            <w:r/>
            <w:r>
              <w:t>— (is the engine)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features/workflow/admin-actions.ts</w:t>
            </w:r>
          </w:p>
        </w:tc>
        <w:tc>
          <w:tcPr>
            <w:tcW w:type="dxa" w:w="2160"/>
          </w:tcPr>
          <w:p>
            <w:r/>
            <w:r>
              <w:t>175</w:t>
            </w:r>
          </w:p>
        </w:tc>
        <w:tc>
          <w:tcPr>
            <w:tcW w:type="dxa" w:w="2160"/>
          </w:tcPr>
          <w:p>
            <w:r/>
            <w:r>
              <w:t>— (admin CRUD on chain config)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features/workflow/admin-queries.ts</w:t>
            </w:r>
          </w:p>
        </w:tc>
        <w:tc>
          <w:tcPr>
            <w:tcW w:type="dxa" w:w="2160"/>
          </w:tcPr>
          <w:p>
            <w:r/>
            <w:r>
              <w:t>21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features/workflow/workflow-progress.tsx</w:t>
            </w:r>
          </w:p>
        </w:tc>
        <w:tc>
          <w:tcPr>
            <w:tcW w:type="dxa" w:w="2160"/>
          </w:tcPr>
          <w:p>
            <w:r/>
            <w:r>
              <w:t>64</w:t>
            </w:r>
          </w:p>
        </w:tc>
        <w:tc>
          <w:tcPr>
            <w:tcW w:type="dxa" w:w="2160"/>
          </w:tcPr>
          <w:p>
            <w:r/>
            <w:r>
              <w:t>— (render-only)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app/(app)/settings/workflows/page.tsx</w:t>
            </w:r>
            <w:r>
              <w:t xml:space="preserve"> + </w:t>
            </w:r>
            <w:r>
              <w:rPr>
                <w:rFonts w:ascii="Consolas" w:hAnsi="Consolas"/>
                <w:sz w:val="20"/>
              </w:rPr>
              <w:t>workflow-editor.tsx</w:t>
            </w:r>
          </w:p>
        </w:tc>
        <w:tc>
          <w:tcPr>
            <w:tcW w:type="dxa" w:w="2160"/>
          </w:tcPr>
          <w:p>
            <w:r/>
            <w:r>
              <w:t>61 + 239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features/sms-manual/{schema,actions,queries}.ts</w:t>
            </w:r>
          </w:p>
        </w:tc>
        <w:tc>
          <w:tcPr>
            <w:tcW w:type="dxa" w:w="2160"/>
          </w:tcPr>
          <w:p>
            <w:r/>
            <w:r>
              <w:t>48 + 313 + 53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Yes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features/near-miss/{schema,actions,queries}.ts</w:t>
            </w:r>
          </w:p>
        </w:tc>
        <w:tc>
          <w:tcPr>
            <w:tcW w:type="dxa" w:w="2160"/>
          </w:tcPr>
          <w:p>
            <w:r/>
            <w:r>
              <w:t>184 + 440 + 71</w:t>
            </w:r>
          </w:p>
        </w:tc>
        <w:tc>
          <w:tcPr>
            <w:tcW w:type="dxa" w:w="2160"/>
          </w:tcPr>
          <w:p>
            <w:r/>
            <w:r>
              <w:t>Yes — index-walk + CAPA gate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features/committee-meetings/{schema,actions,queries}.ts</w:t>
            </w:r>
          </w:p>
        </w:tc>
        <w:tc>
          <w:tcPr>
            <w:tcW w:type="dxa" w:w="2160"/>
          </w:tcPr>
          <w:p>
            <w:r/>
            <w:r>
              <w:t>126 + 448 + 67</w:t>
            </w:r>
          </w:p>
        </w:tc>
        <w:tc>
          <w:tcPr>
            <w:tcW w:type="dxa" w:w="2160"/>
          </w:tcPr>
          <w:p>
            <w:r/>
            <w:r>
              <w:t>Yes — named per-transition fns + backward transition + atomic close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features/non-conformities/{schema,actions,queries,ui}.ts</w:t>
            </w:r>
          </w:p>
        </w:tc>
        <w:tc>
          <w:tcPr>
            <w:tcW w:type="dxa" w:w="2160"/>
          </w:tcPr>
          <w:p>
            <w:r/>
            <w:r>
              <w:t>88 + 289 + 137 + 16</w:t>
            </w:r>
          </w:p>
        </w:tc>
        <w:tc>
          <w:tcPr>
            <w:tcW w:type="dxa" w:w="2160"/>
          </w:tcPr>
          <w:p>
            <w:r/>
            <w:r>
              <w:t>Yes — index-walk + root-cause + CAPA gate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app/(app)/non-conformities/[id]/page.tsx</w:t>
            </w:r>
            <w:r>
              <w:t xml:space="preserve"> (and 3 other page files)</w:t>
            </w:r>
          </w:p>
        </w:tc>
        <w:tc>
          <w:tcPr>
            <w:tcW w:type="dxa" w:w="2160"/>
          </w:tcPr>
          <w:p>
            <w:r/>
            <w:r>
              <w:t>186</w:t>
            </w:r>
          </w:p>
        </w:tc>
        <w:tc>
          <w:tcPr>
            <w:tcW w:type="dxa" w:w="2160"/>
          </w:tcPr>
          <w:p>
            <w:r/>
            <w:r>
              <w:t xml:space="preserve">Yes — client-side </w:t>
            </w:r>
            <w:r>
              <w:rPr>
                <w:rFonts w:ascii="Consolas" w:hAnsi="Consolas"/>
                <w:sz w:val="20"/>
              </w:rPr>
              <w:t>nextOf()</w:t>
            </w:r>
            <w:r>
              <w:t xml:space="preserve"> duplicate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features/psc/{schema,actions,queries}.ts</w:t>
            </w:r>
          </w:p>
        </w:tc>
        <w:tc>
          <w:tcPr>
            <w:tcW w:type="dxa" w:w="2160"/>
          </w:tcPr>
          <w:p>
            <w:r/>
            <w:r>
              <w:t>63 + 263 + 47</w:t>
            </w:r>
          </w:p>
        </w:tc>
        <w:tc>
          <w:tcPr>
            <w:tcW w:type="dxa" w:w="2160"/>
          </w:tcPr>
          <w:p>
            <w:r/>
            <w:r>
              <w:t>Yes — implicit bump + CAPA-resolution loop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features/internal-audits/{schema,actions,queries}.ts</w:t>
            </w:r>
          </w:p>
        </w:tc>
        <w:tc>
          <w:tcPr>
            <w:tcW w:type="dxa" w:w="2160"/>
          </w:tcPr>
          <w:p>
            <w:r/>
            <w:r>
              <w:t>50 + 257 + 49</w:t>
            </w:r>
          </w:p>
        </w:tc>
        <w:tc>
          <w:tcPr>
            <w:tcW w:type="dxa" w:w="2160"/>
          </w:tcPr>
          <w:p>
            <w:r/>
            <w:r>
              <w:t>Yes — same shape as PSC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features/external-audits/{schema,actions,queries}.ts</w:t>
            </w:r>
          </w:p>
        </w:tc>
        <w:tc>
          <w:tcPr>
            <w:tcW w:type="dxa" w:w="2160"/>
          </w:tcPr>
          <w:p>
            <w:r/>
            <w:r>
              <w:t>50 + 257 + 50</w:t>
            </w:r>
          </w:p>
        </w:tc>
        <w:tc>
          <w:tcPr>
            <w:tcW w:type="dxa" w:w="2160"/>
          </w:tcPr>
          <w:p>
            <w:r/>
            <w:r>
              <w:t>Yes — same shape as PSC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docs/ARCHITECTURE.md</w:t>
            </w:r>
          </w:p>
        </w:tc>
        <w:tc>
          <w:tcPr>
            <w:tcW w:type="dxa" w:w="2160"/>
          </w:tcPr>
          <w:p>
            <w:r/>
            <w:r>
              <w:t>103</w:t>
            </w:r>
          </w:p>
        </w:tc>
        <w:tc>
          <w:tcPr>
            <w:tcW w:type="dxa" w:w="2160"/>
          </w:tcPr>
          <w:p>
            <w:r/>
            <w:r>
              <w:t>— (source of the stale "any future module binds here" claim)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BUSINESS_CONSISTENCY.md</w:t>
            </w:r>
            <w:r>
              <w:t xml:space="preserve"> §5–§6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Prior finding this report resolves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