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1) (рис.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350618" cy="3850105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07378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 (рис. 4)</w:t>
      </w:r>
    </w:p>
    <w:p>
      <w:pPr>
        <w:pStyle w:val="CaptionedFigure"/>
      </w:pPr>
      <w:r>
        <w:drawing>
          <wp:inline>
            <wp:extent cx="4427621" cy="4158113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221252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5) (рис. 6)</w:t>
      </w:r>
    </w:p>
    <w:p>
      <w:pPr>
        <w:pStyle w:val="CaptionedFigure"/>
      </w:pPr>
      <w:r>
        <w:drawing>
          <wp:inline>
            <wp:extent cx="4292867" cy="3570972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76272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7) (рис. 8)</w:t>
      </w:r>
    </w:p>
    <w:p>
      <w:pPr>
        <w:pStyle w:val="CaptionedFigure"/>
      </w:pPr>
      <w:r>
        <w:drawing>
          <wp:inline>
            <wp:extent cx="4302492" cy="3176336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141725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9)</w:t>
      </w:r>
    </w:p>
    <w:p>
      <w:pPr>
        <w:pStyle w:val="CaptionedFigure"/>
      </w:pPr>
      <w:r>
        <w:drawing>
          <wp:inline>
            <wp:extent cx="5334000" cy="856800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10) (рис. 11)</w:t>
      </w:r>
    </w:p>
    <w:p>
      <w:pPr>
        <w:pStyle w:val="CaptionedFigure"/>
      </w:pPr>
      <w:r>
        <w:drawing>
          <wp:inline>
            <wp:extent cx="4302492" cy="5380522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342331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12) (рис. 13)</w:t>
      </w:r>
    </w:p>
    <w:p>
      <w:pPr>
        <w:pStyle w:val="CaptionedFigure"/>
      </w:pPr>
      <w:r>
        <w:drawing>
          <wp:inline>
            <wp:extent cx="4629751" cy="5544151"/>
            <wp:effectExtent b="0" l="0" r="0" t="0"/>
            <wp:docPr descr="Программа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</w:t>
      </w:r>
    </w:p>
    <w:p>
      <w:pPr>
        <w:pStyle w:val="CaptionedFigure"/>
      </w:pPr>
      <w:r>
        <w:drawing>
          <wp:inline>
            <wp:extent cx="5334000" cy="1187302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658627" cy="5178391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592238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pStyle w:val="Compact"/>
        <w:numPr>
          <w:ilvl w:val="0"/>
          <w:numId w:val="1005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16) (рис. 17)</w:t>
      </w:r>
    </w:p>
    <w:p>
      <w:pPr>
        <w:pStyle w:val="BodyText"/>
      </w:pPr>
      <w:r>
        <w:t xml:space="preserve">Получили вариант 7 -</w:t>
      </w:r>
      <w:r>
        <w:t xml:space="preserve"> </w:t>
      </w:r>
      <m:oMath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</w:p>
    <w:p>
      <w:pPr>
        <w:pStyle w:val="CaptionedFigure"/>
      </w:pPr>
      <w:r>
        <w:drawing>
          <wp:inline>
            <wp:extent cx="4061861" cy="5553776"/>
            <wp:effectExtent b="0" l="0" r="0" t="0"/>
            <wp:docPr descr="Программа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 20.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получается 80.</w:t>
      </w:r>
    </w:p>
    <w:p>
      <w:pPr>
        <w:pStyle w:val="CaptionedFigure"/>
      </w:pPr>
      <w:r>
        <w:drawing>
          <wp:inline>
            <wp:extent cx="5334000" cy="2001382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Ермишина Мария Кирилловна</dc:creator>
  <dc:language>ru-RU</dc:language>
  <cp:keywords/>
  <dcterms:created xsi:type="dcterms:W3CDTF">2024-11-04T14:54:58Z</dcterms:created>
  <dcterms:modified xsi:type="dcterms:W3CDTF">2024-11-04T14:54:58Z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