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2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Ермишина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aptionedFigure"/>
      </w:pPr>
      <w:r>
        <w:drawing>
          <wp:inline>
            <wp:extent cx="3733800" cy="8094650"/>
            <wp:effectExtent b="0" l="0" r="0" t="0"/>
            <wp:docPr descr="Справка" title="" id="21" name="Picture"/>
            <a:graphic>
              <a:graphicData uri="http://schemas.openxmlformats.org/drawingml/2006/picture">
                <pic:pic>
                  <pic:nvPicPr>
                    <pic:cNvPr descr="image/image17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9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Справка</w:t>
      </w:r>
    </w:p>
    <w:bookmarkStart w:id="23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опера-</w:t>
      </w:r>
      <w:r>
        <w:t xml:space="preserve"> </w:t>
      </w:r>
      <w:r>
        <w:t xml:space="preserve">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23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Создание виртуальной машины</w:t>
      </w:r>
      <w:r>
        <w:t xml:space="preserve"> </w:t>
      </w:r>
      <w:r>
        <w:t xml:space="preserve">Для начала запускаем программу VirtualBox.</w:t>
      </w:r>
      <w:r>
        <w:t xml:space="preserve"> </w:t>
      </w:r>
      <w:r>
        <w:t xml:space="preserve">В открывшемся окне мы видим интерфейс приложения. Выбираем кнопку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. (рис. 2)</w:t>
      </w:r>
    </w:p>
    <w:p>
      <w:pPr>
        <w:pStyle w:val="CaptionedFigure"/>
      </w:pPr>
      <w:r>
        <w:drawing>
          <wp:inline>
            <wp:extent cx="3733800" cy="1650388"/>
            <wp:effectExtent b="0" l="0" r="0" t="0"/>
            <wp:docPr descr="Интерфейс VirtualBox" title="" id="25" name="Picture"/>
            <a:graphic>
              <a:graphicData uri="http://schemas.openxmlformats.org/drawingml/2006/picture">
                <pic:pic>
                  <pic:nvPicPr>
                    <pic:cNvPr descr="image/image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Интерфейс VirtualBox</w:t>
      </w:r>
    </w:p>
    <w:p>
      <w:pPr>
        <w:pStyle w:val="BodyText"/>
      </w:pPr>
      <w:r>
        <w:t xml:space="preserve">В новом окне нам необходимо указать имя для виртуальной машины, а также выбрать образ ISO.</w:t>
      </w:r>
      <w:r>
        <w:t xml:space="preserve"> </w:t>
      </w:r>
      <w:r>
        <w:t xml:space="preserve">Далее необходимо указать размер основной памяти, а также процессоры, необходимые для работы виртуальной машины.</w:t>
      </w:r>
      <w:r>
        <w:t xml:space="preserve"> </w:t>
      </w:r>
      <w:r>
        <w:t xml:space="preserve">Создаём виртуальный жёсткий диск (не меньше 40 ГБ) и создаём машину. (рис. 3)</w:t>
      </w:r>
    </w:p>
    <w:p>
      <w:pPr>
        <w:pStyle w:val="CaptionedFigure"/>
      </w:pPr>
      <w:r>
        <w:drawing>
          <wp:inline>
            <wp:extent cx="3733800" cy="2153741"/>
            <wp:effectExtent b="0" l="0" r="0" t="0"/>
            <wp:docPr descr="Настройки виртуальной машины" title="" id="28" name="Picture"/>
            <a:graphic>
              <a:graphicData uri="http://schemas.openxmlformats.org/drawingml/2006/picture">
                <pic:pic>
                  <pic:nvPicPr>
                    <pic:cNvPr descr="image/image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Настройки виртуальной машины</w:t>
      </w:r>
    </w:p>
    <w:p>
      <w:pPr>
        <w:pStyle w:val="Compact"/>
        <w:numPr>
          <w:ilvl w:val="0"/>
          <w:numId w:val="1002"/>
        </w:numPr>
      </w:pPr>
      <w:r>
        <w:t xml:space="preserve">Настройка Rocky Linux</w:t>
      </w:r>
      <w:r>
        <w:t xml:space="preserve"> </w:t>
      </w:r>
      <w:r>
        <w:t xml:space="preserve">В окне «Добро пожаловать в Rocky Linux…» выберите English в качестве языка интерфейса. (рис. 4)</w:t>
      </w:r>
    </w:p>
    <w:p>
      <w:pPr>
        <w:pStyle w:val="CaptionedFigure"/>
      </w:pPr>
      <w:r>
        <w:drawing>
          <wp:inline>
            <wp:extent cx="3733800" cy="2347410"/>
            <wp:effectExtent b="0" l="0" r="0" t="0"/>
            <wp:docPr descr="Настройки языка интерфейса" title="" id="31" name="Picture"/>
            <a:graphic>
              <a:graphicData uri="http://schemas.openxmlformats.org/drawingml/2006/picture">
                <pic:pic>
                  <pic:nvPicPr>
                    <pic:cNvPr descr="image/image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Настройки языка интерфейса</w:t>
      </w:r>
    </w:p>
    <w:p>
      <w:pPr>
        <w:pStyle w:val="BodyText"/>
      </w:pPr>
      <w:r>
        <w:t xml:space="preserve">В открывшемся окне мы можем окончательно настроить операционную систему. (рис. 5)</w:t>
      </w:r>
    </w:p>
    <w:p>
      <w:pPr>
        <w:pStyle w:val="CaptionedFigure"/>
      </w:pPr>
      <w:r>
        <w:drawing>
          <wp:inline>
            <wp:extent cx="3733800" cy="2637956"/>
            <wp:effectExtent b="0" l="0" r="0" t="0"/>
            <wp:docPr descr="Окно настройки ОС" title="" id="34" name="Picture"/>
            <a:graphic>
              <a:graphicData uri="http://schemas.openxmlformats.org/drawingml/2006/picture">
                <pic:pic>
                  <pic:nvPicPr>
                    <pic:cNvPr descr="image/image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Окно настройки ОС</w:t>
      </w:r>
    </w:p>
    <w:p>
      <w:pPr>
        <w:pStyle w:val="BodyText"/>
      </w:pPr>
      <w:r>
        <w:t xml:space="preserve">Корректируем раскладку клавиатуры - добавляем русский язык, оставляем английский. (рис. 6)</w:t>
      </w:r>
    </w:p>
    <w:p>
      <w:pPr>
        <w:pStyle w:val="CaptionedFigure"/>
      </w:pPr>
      <w:r>
        <w:drawing>
          <wp:inline>
            <wp:extent cx="3733800" cy="1475042"/>
            <wp:effectExtent b="0" l="0" r="0" t="0"/>
            <wp:docPr descr="Раскладки клавиатуры" title="" id="37" name="Picture"/>
            <a:graphic>
              <a:graphicData uri="http://schemas.openxmlformats.org/drawingml/2006/picture">
                <pic:pic>
                  <pic:nvPicPr>
                    <pic:cNvPr descr="image/image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5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Раскладки клавиатуры</w:t>
      </w:r>
    </w:p>
    <w:p>
      <w:pPr>
        <w:pStyle w:val="BodyText"/>
      </w:pPr>
      <w:r>
        <w:t xml:space="preserve">В разделе выбора программ укажите в качестве базового окружения Server with GUI, а в качестве дополнения — Development Tools. (рис. 7)</w:t>
      </w:r>
    </w:p>
    <w:p>
      <w:pPr>
        <w:pStyle w:val="CaptionedFigure"/>
      </w:pPr>
      <w:r>
        <w:drawing>
          <wp:inline>
            <wp:extent cx="3733800" cy="1640465"/>
            <wp:effectExtent b="0" l="0" r="0" t="0"/>
            <wp:docPr descr="Выбор программ" title="" id="40" name="Picture"/>
            <a:graphic>
              <a:graphicData uri="http://schemas.openxmlformats.org/drawingml/2006/picture">
                <pic:pic>
                  <pic:nvPicPr>
                    <pic:cNvPr descr="image/image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0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программ</w:t>
      </w:r>
    </w:p>
    <w:p>
      <w:pPr>
        <w:pStyle w:val="BodyText"/>
      </w:pPr>
      <w:r>
        <w:t xml:space="preserve">Отключаем KDUMP. Место установки ОС оставляем без изменения.</w:t>
      </w:r>
      <w:r>
        <w:t xml:space="preserve"> </w:t>
      </w:r>
      <w:r>
        <w:t xml:space="preserve">Включаем сетевое соединение и в качестве имени узла укажите user.localdomain, где вместо user указываем имя своего пользователя. (рис. 8)</w:t>
      </w:r>
    </w:p>
    <w:p>
      <w:pPr>
        <w:pStyle w:val="CaptionedFigure"/>
      </w:pPr>
      <w:r>
        <w:drawing>
          <wp:inline>
            <wp:extent cx="3733800" cy="1950257"/>
            <wp:effectExtent b="0" l="0" r="0" t="0"/>
            <wp:docPr descr="Сетевое соединение" title="" id="43" name="Picture"/>
            <a:graphic>
              <a:graphicData uri="http://schemas.openxmlformats.org/drawingml/2006/picture">
                <pic:pic>
                  <pic:nvPicPr>
                    <pic:cNvPr descr="image/image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Сетевое соединение</w:t>
      </w:r>
    </w:p>
    <w:p>
      <w:pPr>
        <w:pStyle w:val="BodyText"/>
      </w:pPr>
      <w:r>
        <w:t xml:space="preserve">Устанавливаем пароль для root, разрешение на ввод пароля для root при использовании SSH. (рис. 9)</w:t>
      </w:r>
    </w:p>
    <w:p>
      <w:pPr>
        <w:pStyle w:val="CaptionedFigure"/>
      </w:pPr>
      <w:r>
        <w:drawing>
          <wp:inline>
            <wp:extent cx="3733800" cy="1467646"/>
            <wp:effectExtent b="0" l="0" r="0" t="0"/>
            <wp:docPr descr="Root" title="" id="46" name="Picture"/>
            <a:graphic>
              <a:graphicData uri="http://schemas.openxmlformats.org/drawingml/2006/picture">
                <pic:pic>
                  <pic:nvPicPr>
                    <pic:cNvPr descr="image/image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Root</w:t>
      </w:r>
    </w:p>
    <w:p>
      <w:pPr>
        <w:pStyle w:val="BodyText"/>
      </w:pPr>
      <w:r>
        <w:t xml:space="preserve">Затем задаем локального пользователя с правами администратора и пароль для него. (рис. 10)</w:t>
      </w:r>
    </w:p>
    <w:p>
      <w:pPr>
        <w:pStyle w:val="CaptionedFigure"/>
      </w:pPr>
      <w:r>
        <w:drawing>
          <wp:inline>
            <wp:extent cx="3733800" cy="1593142"/>
            <wp:effectExtent b="0" l="0" r="0" t="0"/>
            <wp:docPr descr="Лок. пользователь" title="" id="49" name="Picture"/>
            <a:graphic>
              <a:graphicData uri="http://schemas.openxmlformats.org/drawingml/2006/picture">
                <pic:pic>
                  <pic:nvPicPr>
                    <pic:cNvPr descr="image/image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Лок. пользователь</w:t>
      </w:r>
    </w:p>
    <w:p>
      <w:pPr>
        <w:pStyle w:val="BodyText"/>
      </w:pPr>
      <w:r>
        <w:t xml:space="preserve">После завершения настройки корректно перезапускаем машину. Далее входим под заданной нами уч. записью.</w:t>
      </w:r>
      <w:r>
        <w:t xml:space="preserve"> </w:t>
      </w:r>
      <w:r>
        <w:t xml:space="preserve">В меню Устройства виртуальной машины подключите образ диска дополнений гостевой ОС. После загрузки дополнений перезагружаем виртуальную машину.</w:t>
      </w:r>
    </w:p>
    <w:bookmarkEnd w:id="51"/>
    <w:bookmarkStart w:id="80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 окне терминала проанализируем последовательность загрузки системы, выполнив команду dmesg. Используем следующую команду: (рис.</w:t>
      </w:r>
      <w:r>
        <w:t xml:space="preserve"> </w:t>
      </w:r>
      <w:r>
        <w:rPr>
          <w:b/>
          <w:bCs/>
        </w:rPr>
        <w:t xml:space="preserve">¿fig:010?</w:t>
      </w:r>
      <w:r>
        <w:t xml:space="preserve">)</w:t>
      </w:r>
      <w:r>
        <w:t xml:space="preserve"> </w:t>
      </w:r>
      <w:r>
        <w:t xml:space="preserve">- dmesg | less</w:t>
      </w:r>
    </w:p>
    <w:p>
      <w:pPr>
        <w:pStyle w:val="BodyText"/>
      </w:pPr>
      <w:r>
        <w:t xml:space="preserve">А после используем команду для поиска:</w:t>
      </w:r>
      <w:r>
        <w:t xml:space="preserve"> </w:t>
      </w:r>
      <w:r>
        <w:t xml:space="preserve">-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</w:p>
    <w:p>
      <w:pPr>
        <w:pStyle w:val="BodyText"/>
      </w:pPr>
      <w:r>
        <w:t xml:space="preserve">Получаем следующую информацию.</w:t>
      </w:r>
    </w:p>
    <w:p>
      <w:pPr>
        <w:pStyle w:val="Compact"/>
        <w:numPr>
          <w:ilvl w:val="0"/>
          <w:numId w:val="1003"/>
        </w:numPr>
      </w:pPr>
      <w:r>
        <w:t xml:space="preserve">Версия ядра Linux (Linux version). (рис.</w:t>
      </w:r>
      <w:r>
        <w:t xml:space="preserve"> </w:t>
      </w:r>
      <w:r>
        <w:rPr>
          <w:b/>
          <w:bCs/>
        </w:rPr>
        <w:t xml:space="preserve">¿fig:011?</w:t>
      </w:r>
      <w:r>
        <w:t xml:space="preserve">)</w:t>
      </w:r>
    </w:p>
    <w:p>
      <w:pPr>
        <w:pStyle w:val="Compact"/>
        <w:numPr>
          <w:ilvl w:val="0"/>
          <w:numId w:val="1003"/>
        </w:numPr>
      </w:pPr>
      <w:r>
        <w:t xml:space="preserve">Частота процессора (Detected Mhz processor). (рис.</w:t>
      </w:r>
      <w:r>
        <w:t xml:space="preserve"> </w:t>
      </w:r>
      <w:r>
        <w:rPr>
          <w:b/>
          <w:bCs/>
        </w:rPr>
        <w:t xml:space="preserve">¿fig:012?</w:t>
      </w:r>
      <w:r>
        <w:t xml:space="preserve">)</w:t>
      </w:r>
    </w:p>
    <w:p>
      <w:pPr>
        <w:pStyle w:val="Compact"/>
        <w:numPr>
          <w:ilvl w:val="0"/>
          <w:numId w:val="1003"/>
        </w:numPr>
      </w:pPr>
      <w:r>
        <w:t xml:space="preserve">Модель процессора (CPU0). (рис.</w:t>
      </w:r>
      <w:r>
        <w:t xml:space="preserve"> </w:t>
      </w:r>
      <w:r>
        <w:rPr>
          <w:b/>
          <w:bCs/>
        </w:rPr>
        <w:t xml:space="preserve">¿fig:013?</w:t>
      </w:r>
      <w:r>
        <w:t xml:space="preserve">)</w:t>
      </w:r>
    </w:p>
    <w:p>
      <w:pPr>
        <w:pStyle w:val="Compact"/>
        <w:numPr>
          <w:ilvl w:val="0"/>
          <w:numId w:val="1003"/>
        </w:numPr>
      </w:pPr>
      <w:r>
        <w:t xml:space="preserve">Объём доступной оперативной памяти (Memory available). (рис.</w:t>
      </w:r>
      <w:r>
        <w:t xml:space="preserve"> </w:t>
      </w:r>
      <w:r>
        <w:rPr>
          <w:b/>
          <w:bCs/>
        </w:rPr>
        <w:t xml:space="preserve">¿fig:014?</w:t>
      </w:r>
      <w:r>
        <w:t xml:space="preserve">)</w:t>
      </w:r>
    </w:p>
    <w:p>
      <w:pPr>
        <w:pStyle w:val="Compact"/>
        <w:numPr>
          <w:ilvl w:val="0"/>
          <w:numId w:val="1003"/>
        </w:numPr>
      </w:pPr>
      <w:r>
        <w:t xml:space="preserve">Тип обнаруженного гипервизора (Hypervisor detected). (рис.</w:t>
      </w:r>
      <w:r>
        <w:t xml:space="preserve"> </w:t>
      </w:r>
      <w:r>
        <w:rPr>
          <w:b/>
          <w:bCs/>
        </w:rPr>
        <w:t xml:space="preserve">¿fig:015?</w:t>
      </w:r>
      <w:r>
        <w:t xml:space="preserve">)</w:t>
      </w:r>
    </w:p>
    <w:p>
      <w:pPr>
        <w:pStyle w:val="Compact"/>
        <w:numPr>
          <w:ilvl w:val="0"/>
          <w:numId w:val="1003"/>
        </w:numPr>
      </w:pPr>
      <w:r>
        <w:t xml:space="preserve">Тип файловой системы корневого раздела. (рис.</w:t>
      </w:r>
      <w:r>
        <w:t xml:space="preserve"> </w:t>
      </w:r>
      <w:r>
        <w:rPr>
          <w:b/>
          <w:bCs/>
        </w:rPr>
        <w:t xml:space="preserve">¿fig:016?</w:t>
      </w:r>
      <w:r>
        <w:t xml:space="preserve">)</w:t>
      </w:r>
    </w:p>
    <w:p>
      <w:pPr>
        <w:pStyle w:val="Compact"/>
        <w:numPr>
          <w:ilvl w:val="0"/>
          <w:numId w:val="1003"/>
        </w:numPr>
      </w:pPr>
      <w:r>
        <w:t xml:space="preserve">Последовательность монтирования файловых систем. (рис.</w:t>
      </w:r>
      <w:r>
        <w:t xml:space="preserve"> </w:t>
      </w:r>
      <w:r>
        <w:rPr>
          <w:b/>
          <w:bCs/>
        </w:rPr>
        <w:t xml:space="preserve">¿fig:016?</w:t>
      </w:r>
      <w:r>
        <w:t xml:space="preserve">)</w:t>
      </w:r>
    </w:p>
    <w:p>
      <w:pPr>
        <w:pStyle w:val="FirstParagraph"/>
      </w:pPr>
      <w:bookmarkStart w:id="55" w:name="fig:010"/>
      <w:r>
        <w:drawing>
          <wp:inline>
            <wp:extent cx="3733800" cy="2834089"/>
            <wp:effectExtent b="0" l="0" r="0" t="0"/>
            <wp:docPr descr="Команда dmesg" title="" id="53" name="Picture"/>
            <a:graphic>
              <a:graphicData uri="http://schemas.openxmlformats.org/drawingml/2006/picture">
                <pic:pic>
                  <pic:nvPicPr>
                    <pic:cNvPr descr="image/image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4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  <w:r>
        <w:t xml:space="preserve"> </w:t>
      </w:r>
      <w:bookmarkStart w:id="59" w:name="fig:011"/>
      <w:r>
        <w:drawing>
          <wp:inline>
            <wp:extent cx="3733800" cy="772300"/>
            <wp:effectExtent b="0" l="0" r="0" t="0"/>
            <wp:docPr descr="Версия ядра Linux" title="" id="57" name="Picture"/>
            <a:graphic>
              <a:graphicData uri="http://schemas.openxmlformats.org/drawingml/2006/picture">
                <pic:pic>
                  <pic:nvPicPr>
                    <pic:cNvPr descr="image/image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  <w:r>
        <w:t xml:space="preserve"> </w:t>
      </w:r>
      <w:bookmarkStart w:id="63" w:name="fig:012"/>
      <w:r>
        <w:drawing>
          <wp:inline>
            <wp:extent cx="3733800" cy="333374"/>
            <wp:effectExtent b="0" l="0" r="0" t="0"/>
            <wp:docPr descr="Частота процессора" title="" id="61" name="Picture"/>
            <a:graphic>
              <a:graphicData uri="http://schemas.openxmlformats.org/drawingml/2006/picture">
                <pic:pic>
                  <pic:nvPicPr>
                    <pic:cNvPr descr="image/image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  <w:r>
        <w:t xml:space="preserve"> </w:t>
      </w:r>
      <w:bookmarkStart w:id="67" w:name="fig:013"/>
      <w:r>
        <w:drawing>
          <wp:inline>
            <wp:extent cx="3733800" cy="395916"/>
            <wp:effectExtent b="0" l="0" r="0" t="0"/>
            <wp:docPr descr="Модель процессора" title="" id="65" name="Picture"/>
            <a:graphic>
              <a:graphicData uri="http://schemas.openxmlformats.org/drawingml/2006/picture">
                <pic:pic>
                  <pic:nvPicPr>
                    <pic:cNvPr descr="image/image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  <w:r>
        <w:t xml:space="preserve"> </w:t>
      </w:r>
      <w:bookmarkStart w:id="71" w:name="fig:014"/>
      <w:r>
        <w:drawing>
          <wp:inline>
            <wp:extent cx="3733800" cy="1065070"/>
            <wp:effectExtent b="0" l="0" r="0" t="0"/>
            <wp:docPr descr="Объём доступной оперативной памяти" title="" id="69" name="Picture"/>
            <a:graphic>
              <a:graphicData uri="http://schemas.openxmlformats.org/drawingml/2006/picture">
                <pic:pic>
                  <pic:nvPicPr>
                    <pic:cNvPr descr="image/image1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  <w:r>
        <w:t xml:space="preserve"> </w:t>
      </w:r>
      <w:bookmarkStart w:id="75" w:name="fig:015"/>
      <w:r>
        <w:drawing>
          <wp:inline>
            <wp:extent cx="3733800" cy="215757"/>
            <wp:effectExtent b="0" l="0" r="0" t="0"/>
            <wp:docPr descr="Тип обнаруженного гипервизора" title="" id="73" name="Picture"/>
            <a:graphic>
              <a:graphicData uri="http://schemas.openxmlformats.org/drawingml/2006/picture">
                <pic:pic>
                  <pic:nvPicPr>
                    <pic:cNvPr descr="image/image1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  <w:r>
        <w:t xml:space="preserve"> </w:t>
      </w:r>
      <w:bookmarkStart w:id="79" w:name="fig:016"/>
      <w:r>
        <w:drawing>
          <wp:inline>
            <wp:extent cx="3733800" cy="758902"/>
            <wp:effectExtent b="0" l="0" r="0" t="0"/>
            <wp:docPr descr="Тип файловой системы корневого раздела" title="" id="77" name="Picture"/>
            <a:graphic>
              <a:graphicData uri="http://schemas.openxmlformats.org/drawingml/2006/picture">
                <pic:pic>
                  <pic:nvPicPr>
                    <pic:cNvPr descr="image/image16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8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приобретены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81"/>
    <w:bookmarkStart w:id="8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4"/>
        </w:numPr>
      </w:pPr>
      <w:r>
        <w:t xml:space="preserve">Команды:</w:t>
      </w:r>
    </w:p>
    <w:p>
      <w:pPr>
        <w:pStyle w:val="Compact"/>
        <w:numPr>
          <w:ilvl w:val="0"/>
          <w:numId w:val="1005"/>
        </w:numPr>
      </w:pPr>
      <w:r>
        <w:t xml:space="preserve">для получения справки по команде – info</w:t>
      </w:r>
      <w:r>
        <w:t xml:space="preserve"> </w:t>
      </w:r>
      <w:r>
        <w:t xml:space="preserve">“</w:t>
      </w:r>
      <w:r>
        <w:t xml:space="preserve">название команды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название команды</w:t>
      </w:r>
      <w:r>
        <w:t xml:space="preserve">”</w:t>
      </w:r>
      <w:r>
        <w:t xml:space="preserve"> </w:t>
      </w:r>
      <w:r>
        <w:t xml:space="preserve">–help</w:t>
      </w:r>
    </w:p>
    <w:p>
      <w:pPr>
        <w:pStyle w:val="Compact"/>
        <w:numPr>
          <w:ilvl w:val="0"/>
          <w:numId w:val="1005"/>
        </w:numPr>
      </w:pPr>
      <w:r>
        <w:t xml:space="preserve">для перемещения по файловой системе – cd</w:t>
      </w:r>
      <w:r>
        <w:t xml:space="preserve"> </w:t>
      </w:r>
      <w:r>
        <w:t xml:space="preserve">“</w:t>
      </w:r>
      <w:r>
        <w:t xml:space="preserve">путь</w:t>
      </w:r>
      <w:r>
        <w:t xml:space="preserve">”</w:t>
      </w:r>
    </w:p>
    <w:p>
      <w:pPr>
        <w:pStyle w:val="Compact"/>
        <w:numPr>
          <w:ilvl w:val="0"/>
          <w:numId w:val="1005"/>
        </w:numPr>
      </w:pPr>
      <w:r>
        <w:t xml:space="preserve">для просмотра содержимого каталога – dir либо ls</w:t>
      </w:r>
    </w:p>
    <w:p>
      <w:pPr>
        <w:pStyle w:val="Compact"/>
        <w:numPr>
          <w:ilvl w:val="0"/>
          <w:numId w:val="1005"/>
        </w:numPr>
      </w:pPr>
      <w:r>
        <w:t xml:space="preserve">для определения объема каталога – du -sh</w:t>
      </w:r>
      <w:r>
        <w:t xml:space="preserve"> </w:t>
      </w:r>
      <w:r>
        <w:t xml:space="preserve">“</w:t>
      </w:r>
      <w:r>
        <w:t xml:space="preserve">путь</w:t>
      </w:r>
      <w:r>
        <w:t xml:space="preserve">”</w:t>
      </w:r>
    </w:p>
    <w:p>
      <w:pPr>
        <w:pStyle w:val="Compact"/>
        <w:numPr>
          <w:ilvl w:val="0"/>
          <w:numId w:val="1005"/>
        </w:numPr>
      </w:pPr>
      <w:r>
        <w:t xml:space="preserve">для создания каталога - mkdir</w:t>
      </w:r>
      <w:r>
        <w:t xml:space="preserve"> </w:t>
      </w:r>
      <w:r>
        <w:t xml:space="preserve">“</w:t>
      </w:r>
      <w:r>
        <w:t xml:space="preserve">название</w:t>
      </w:r>
      <w:r>
        <w:t xml:space="preserve">”</w:t>
      </w:r>
    </w:p>
    <w:p>
      <w:pPr>
        <w:pStyle w:val="Compact"/>
        <w:numPr>
          <w:ilvl w:val="0"/>
          <w:numId w:val="1005"/>
        </w:numPr>
      </w:pPr>
      <w:r>
        <w:t xml:space="preserve">для удаления – rmdir</w:t>
      </w:r>
      <w:r>
        <w:t xml:space="preserve"> </w:t>
      </w:r>
      <w:r>
        <w:t xml:space="preserve">“</w:t>
      </w:r>
      <w:r>
        <w:t xml:space="preserve">название</w:t>
      </w:r>
      <w:r>
        <w:t xml:space="preserve">”</w:t>
      </w:r>
    </w:p>
    <w:p>
      <w:pPr>
        <w:pStyle w:val="Compact"/>
        <w:numPr>
          <w:ilvl w:val="0"/>
          <w:numId w:val="1005"/>
        </w:numPr>
      </w:pPr>
      <w:r>
        <w:t xml:space="preserve">для создания файла touch</w:t>
      </w:r>
      <w:r>
        <w:t xml:space="preserve"> </w:t>
      </w:r>
      <w:r>
        <w:t xml:space="preserve">“</w:t>
      </w:r>
      <w:r>
        <w:t xml:space="preserve">название</w:t>
      </w:r>
      <w:r>
        <w:t xml:space="preserve">”</w:t>
      </w:r>
      <w:r>
        <w:t xml:space="preserve"> </w:t>
      </w:r>
      <w:r>
        <w:t xml:space="preserve">или cat &gt;</w:t>
      </w:r>
      <w:r>
        <w:t xml:space="preserve"> </w:t>
      </w:r>
      <w:r>
        <w:t xml:space="preserve">“</w:t>
      </w:r>
      <w:r>
        <w:t xml:space="preserve">название</w:t>
      </w:r>
      <w:r>
        <w:t xml:space="preserve">”</w:t>
      </w:r>
    </w:p>
    <w:p>
      <w:pPr>
        <w:pStyle w:val="Compact"/>
        <w:numPr>
          <w:ilvl w:val="0"/>
          <w:numId w:val="1005"/>
        </w:numPr>
      </w:pPr>
      <w:r>
        <w:t xml:space="preserve">для удаления rm</w:t>
      </w:r>
      <w:r>
        <w:t xml:space="preserve"> </w:t>
      </w:r>
      <w:r>
        <w:t xml:space="preserve">“</w:t>
      </w:r>
      <w:r>
        <w:t xml:space="preserve">название</w:t>
      </w:r>
      <w:r>
        <w:t xml:space="preserve">”</w:t>
      </w:r>
    </w:p>
    <w:p>
      <w:pPr>
        <w:pStyle w:val="Compact"/>
        <w:numPr>
          <w:ilvl w:val="0"/>
          <w:numId w:val="1005"/>
        </w:numPr>
      </w:pPr>
      <w:r>
        <w:t xml:space="preserve">для создания каталога с правами mkdir –mode=</w:t>
      </w:r>
      <w:r>
        <w:t xml:space="preserve">“</w:t>
      </w:r>
      <w:r>
        <w:t xml:space="preserve">идентификатор</w:t>
      </w:r>
      <w:r>
        <w:t xml:space="preserve">”</w:t>
      </w:r>
      <w:r>
        <w:t xml:space="preserve"> </w:t>
      </w:r>
      <w:r>
        <w:t xml:space="preserve">“</w:t>
      </w:r>
      <w:r>
        <w:t xml:space="preserve">название каталога</w:t>
      </w:r>
      <w:r>
        <w:t xml:space="preserve">”</w:t>
      </w:r>
    </w:p>
    <w:p>
      <w:pPr>
        <w:pStyle w:val="Compact"/>
        <w:numPr>
          <w:ilvl w:val="0"/>
          <w:numId w:val="1005"/>
        </w:numPr>
      </w:pPr>
      <w:r>
        <w:t xml:space="preserve">для правки прав доступа для файла chmo</w:t>
      </w:r>
    </w:p>
    <w:p>
      <w:pPr>
        <w:pStyle w:val="Compact"/>
        <w:numPr>
          <w:ilvl w:val="0"/>
          <w:numId w:val="1005"/>
        </w:numPr>
      </w:pPr>
      <w:r>
        <w:t xml:space="preserve">для просмотра истории команд - history</w:t>
      </w:r>
    </w:p>
    <w:p>
      <w:pPr>
        <w:pStyle w:val="Compact"/>
        <w:numPr>
          <w:ilvl w:val="0"/>
          <w:numId w:val="1006"/>
        </w:numPr>
      </w:pPr>
      <w:r>
        <w:t xml:space="preserve">Содержит информацию об идентификаторе учетной записи пользователя и ее имени, идентификаторе основной группы пользователя и ее названии. Команда: id</w:t>
      </w:r>
      <w:r>
        <w:t xml:space="preserve"> </w:t>
      </w:r>
      <w:r>
        <w:t xml:space="preserve">“</w:t>
      </w:r>
      <w:r>
        <w:t xml:space="preserve">имя пользователя</w:t>
      </w:r>
      <w:r>
        <w:t xml:space="preserve">”</w:t>
      </w:r>
    </w:p>
    <w:p>
      <w:pPr>
        <w:pStyle w:val="Compact"/>
        <w:numPr>
          <w:ilvl w:val="0"/>
          <w:numId w:val="1006"/>
        </w:numPr>
      </w:pPr>
      <w:r>
        <w:t xml:space="preserve">Файловая система определяет способ хранения, организации данных/информации на определенных носителях. Пример: NTFS - Макс. размер файла 264 байт, максимум файлов 232-1, макс. размер тома 256 ТБ</w:t>
      </w:r>
    </w:p>
    <w:p>
      <w:pPr>
        <w:pStyle w:val="Compact"/>
        <w:numPr>
          <w:ilvl w:val="0"/>
          <w:numId w:val="1006"/>
        </w:numPr>
      </w:pPr>
      <w:r>
        <w:t xml:space="preserve">dmesg | grep</w:t>
      </w:r>
      <w:r>
        <w:t xml:space="preserve"> </w:t>
      </w:r>
      <w:r>
        <w:t xml:space="preserve">“</w:t>
      </w:r>
      <w:r>
        <w:t xml:space="preserve">filesystem</w:t>
      </w:r>
      <w:r>
        <w:t xml:space="preserve">”</w:t>
      </w:r>
    </w:p>
    <w:p>
      <w:pPr>
        <w:pStyle w:val="Compact"/>
        <w:numPr>
          <w:ilvl w:val="0"/>
          <w:numId w:val="1006"/>
        </w:numPr>
      </w:pPr>
      <w:r>
        <w:t xml:space="preserve">pkill «название процесса»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Ермишина Мария Кирилловна</dc:creator>
  <dc:language>ru-RU</dc:language>
  <cp:keywords/>
  <dcterms:created xsi:type="dcterms:W3CDTF">2025-09-14T17:49:56Z</dcterms:created>
  <dcterms:modified xsi:type="dcterms:W3CDTF">2025-09-14T17:49:56Z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