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pStyle w:val="Title"/>
        <w:jc w:val="center"/>
      </w:pPr>
      <w:r>
        <w:t>TeleConnect Customer Churn and Revenue Risk Analysis</w:t>
      </w:r>
    </w:p>
    <w:p>
      <w:pPr>
        <w:jc w:val="center"/>
      </w:pPr>
      <w:r>
        <w:rPr>
          <w:b/>
          <w:color w:val="1678A2"/>
          <w:sz w:val="30"/>
        </w:rPr>
        <w:t>Complete SQL Portfolio Project Documentation</w:t>
      </w:r>
    </w:p>
    <w:p>
      <w:pPr>
        <w:spacing w:after="560"/>
      </w:pP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5324B"/>
          </w:tcPr>
          <w:p>
            <w:r/>
            <w:r>
              <w:rPr>
                <w:rFonts w:ascii="Aptos" w:hAnsi="Aptos"/>
                <w:b/>
                <w:color w:val="FFFFFF"/>
                <w:sz w:val="17"/>
              </w:rPr>
              <w:t>Project detail</w:t>
            </w:r>
          </w:p>
        </w:tc>
        <w:tc>
          <w:tcPr>
            <w:tcW w:type="dxa" w:w="6768"/>
            <w:vAlign w:val="center"/>
            <w:shd w:fill="15324B"/>
          </w:tcPr>
          <w:p>
            <w:r/>
            <w:r>
              <w:rPr>
                <w:rFonts w:ascii="Aptos" w:hAnsi="Aptos"/>
                <w:b/>
                <w:color w:val="FFFFFF"/>
                <w:sz w:val="17"/>
              </w:rPr>
              <w:t>Value</w:t>
            </w:r>
          </w:p>
        </w:tc>
      </w:tr>
      <w:tr>
        <w:tc>
          <w:tcPr>
            <w:tcW w:type="dxa" w:w="2448"/>
            <w:vAlign w:val="center"/>
          </w:tcPr>
          <w:p>
            <w:r/>
            <w:r>
              <w:rPr>
                <w:rFonts w:ascii="Aptos" w:hAnsi="Aptos"/>
                <w:b w:val="0"/>
                <w:sz w:val="17"/>
              </w:rPr>
              <w:t>Author</w:t>
            </w:r>
          </w:p>
        </w:tc>
        <w:tc>
          <w:tcPr>
            <w:tcW w:type="dxa" w:w="6768"/>
            <w:vAlign w:val="center"/>
          </w:tcPr>
          <w:p>
            <w:r/>
            <w:r>
              <w:rPr>
                <w:rFonts w:ascii="Aptos" w:hAnsi="Aptos"/>
                <w:b w:val="0"/>
                <w:sz w:val="17"/>
              </w:rPr>
              <w:t>Ernest-Cyril Divine Onyeze</w:t>
            </w:r>
          </w:p>
        </w:tc>
      </w:tr>
      <w:tr>
        <w:tc>
          <w:tcPr>
            <w:tcW w:type="dxa" w:w="2448"/>
            <w:vAlign w:val="center"/>
            <w:shd w:fill="F4F7F9"/>
          </w:tcPr>
          <w:p>
            <w:r/>
            <w:r>
              <w:rPr>
                <w:rFonts w:ascii="Aptos" w:hAnsi="Aptos"/>
                <w:b w:val="0"/>
                <w:sz w:val="17"/>
              </w:rPr>
              <w:t>Database</w:t>
            </w:r>
          </w:p>
        </w:tc>
        <w:tc>
          <w:tcPr>
            <w:tcW w:type="dxa" w:w="6768"/>
            <w:vAlign w:val="center"/>
            <w:shd w:fill="F4F7F9"/>
          </w:tcPr>
          <w:p>
            <w:r/>
            <w:r>
              <w:rPr>
                <w:rFonts w:ascii="Aptos" w:hAnsi="Aptos"/>
                <w:b w:val="0"/>
                <w:sz w:val="17"/>
              </w:rPr>
              <w:t>MySQL Server 8.0</w:t>
            </w:r>
          </w:p>
        </w:tc>
      </w:tr>
      <w:tr>
        <w:tc>
          <w:tcPr>
            <w:tcW w:type="dxa" w:w="2448"/>
            <w:vAlign w:val="center"/>
          </w:tcPr>
          <w:p>
            <w:r/>
            <w:r>
              <w:rPr>
                <w:rFonts w:ascii="Aptos" w:hAnsi="Aptos"/>
                <w:b w:val="0"/>
                <w:sz w:val="17"/>
              </w:rPr>
              <w:t>Client</w:t>
            </w:r>
          </w:p>
        </w:tc>
        <w:tc>
          <w:tcPr>
            <w:tcW w:type="dxa" w:w="6768"/>
            <w:vAlign w:val="center"/>
          </w:tcPr>
          <w:p>
            <w:r/>
            <w:r>
              <w:rPr>
                <w:rFonts w:ascii="Aptos" w:hAnsi="Aptos"/>
                <w:b w:val="0"/>
                <w:sz w:val="17"/>
              </w:rPr>
              <w:t>MySQL Workbench 8.0 CE</w:t>
            </w:r>
          </w:p>
        </w:tc>
      </w:tr>
      <w:tr>
        <w:tc>
          <w:tcPr>
            <w:tcW w:type="dxa" w:w="2448"/>
            <w:vAlign w:val="center"/>
            <w:shd w:fill="F4F7F9"/>
          </w:tcPr>
          <w:p>
            <w:r/>
            <w:r>
              <w:rPr>
                <w:rFonts w:ascii="Aptos" w:hAnsi="Aptos"/>
                <w:b w:val="0"/>
                <w:sz w:val="17"/>
              </w:rPr>
              <w:t>Dataset</w:t>
            </w:r>
          </w:p>
        </w:tc>
        <w:tc>
          <w:tcPr>
            <w:tcW w:type="dxa" w:w="6768"/>
            <w:vAlign w:val="center"/>
            <w:shd w:fill="F4F7F9"/>
          </w:tcPr>
          <w:p>
            <w:r/>
            <w:r>
              <w:rPr>
                <w:rFonts w:ascii="Aptos" w:hAnsi="Aptos"/>
                <w:b w:val="0"/>
                <w:sz w:val="17"/>
              </w:rPr>
              <w:t>7,043 fictional telecom customers in California</w:t>
            </w:r>
          </w:p>
        </w:tc>
      </w:tr>
      <w:tr>
        <w:tc>
          <w:tcPr>
            <w:tcW w:type="dxa" w:w="2448"/>
            <w:vAlign w:val="center"/>
          </w:tcPr>
          <w:p>
            <w:r/>
            <w:r>
              <w:rPr>
                <w:rFonts w:ascii="Aptos" w:hAnsi="Aptos"/>
                <w:b w:val="0"/>
                <w:sz w:val="17"/>
              </w:rPr>
              <w:t>Completed</w:t>
            </w:r>
          </w:p>
        </w:tc>
        <w:tc>
          <w:tcPr>
            <w:tcW w:type="dxa" w:w="6768"/>
            <w:vAlign w:val="center"/>
          </w:tcPr>
          <w:p>
            <w:r/>
            <w:r>
              <w:rPr>
                <w:rFonts w:ascii="Aptos" w:hAnsi="Aptos"/>
                <w:b w:val="0"/>
                <w:sz w:val="17"/>
              </w:rPr>
              <w:t>18 September 2026</w:t>
            </w:r>
          </w:p>
        </w:tc>
      </w:tr>
    </w:tbl>
    <w:p>
      <w:pPr>
        <w:spacing w:after="20"/>
      </w:pPr>
    </w:p>
    <w:p>
      <w:pPr>
        <w:jc w:val="center"/>
      </w:pPr>
      <w:r>
        <w:rPr>
          <w:color w:val="5B6570"/>
          <w:sz w:val="20"/>
        </w:rPr>
        <w:t>Portfolio: cyrilanalytics.com</w:t>
      </w:r>
    </w:p>
    <w:p>
      <w:r>
        <w:br w:type="page"/>
      </w:r>
    </w:p>
    <w:p>
      <w:pPr>
        <w:pStyle w:val="Heading1"/>
      </w:pPr>
      <w:r>
        <w:t>Executive Summary</w:t>
      </w:r>
    </w:p>
    <w:p>
      <w:r>
        <w:t>This project uses MySQL to analyse customer churn, historical customer value, service adoption, and retention priorities for TeleConnect, a fictional telecommunications company. A flat 38-column customer file was converted into a normalized five-table relational database. The workflow includes staged data loading, integrity checks, cleaning decisions, basic and advanced SQL analysis, reusable views, and business recommendations.</w:t>
      </w:r>
    </w:p>
    <w:p>
      <w:r>
        <w:t>The verified data contains 7,043 customers: 1,869 churned, 4,720 stayed, and 454 recently joined. Churn was 26.54% across all customers and 28.37% when recent joins were excluded. The strongest descriptive patterns involved contract type, early tenure, competitor pressure, payment method, internet type, and service-bundle depth.</w:t>
      </w:r>
    </w:p>
    <w:tbl>
      <w:tblPr>
        <w:tblStyle w:val="TableGrid"/>
        <w:tblW w:type="auto" w:w="0"/>
        <w:jc w:val="center"/>
        <w:tblLook w:firstColumn="1" w:firstRow="1" w:lastColumn="0" w:lastRow="0" w:noHBand="0" w:noVBand="1" w:val="04A0"/>
      </w:tblPr>
      <w:tblGrid>
        <w:gridCol w:w="5040"/>
        <w:gridCol w:w="5040"/>
      </w:tblGrid>
      <w:tr>
        <w:tc>
          <w:tcPr>
            <w:tcW w:type="dxa" w:w="5328"/>
            <w:vAlign w:val="center"/>
            <w:shd w:fill="15324B"/>
          </w:tcPr>
          <w:p>
            <w:r/>
            <w:r>
              <w:rPr>
                <w:rFonts w:ascii="Aptos" w:hAnsi="Aptos"/>
                <w:b/>
                <w:color w:val="FFFFFF"/>
                <w:sz w:val="17"/>
              </w:rPr>
              <w:t>Metric</w:t>
            </w:r>
          </w:p>
        </w:tc>
        <w:tc>
          <w:tcPr>
            <w:tcW w:type="dxa" w:w="3888"/>
            <w:vAlign w:val="center"/>
            <w:shd w:fill="15324B"/>
          </w:tcPr>
          <w:p>
            <w:r/>
            <w:r>
              <w:rPr>
                <w:rFonts w:ascii="Aptos" w:hAnsi="Aptos"/>
                <w:b/>
                <w:color w:val="FFFFFF"/>
                <w:sz w:val="17"/>
              </w:rPr>
              <w:t>Verified result</w:t>
            </w:r>
          </w:p>
        </w:tc>
      </w:tr>
      <w:tr>
        <w:tc>
          <w:tcPr>
            <w:tcW w:type="dxa" w:w="5328"/>
            <w:vAlign w:val="center"/>
          </w:tcPr>
          <w:p>
            <w:r/>
            <w:r>
              <w:rPr>
                <w:rFonts w:ascii="Aptos" w:hAnsi="Aptos"/>
                <w:b w:val="0"/>
                <w:sz w:val="17"/>
              </w:rPr>
              <w:t>Total customers</w:t>
            </w:r>
          </w:p>
        </w:tc>
        <w:tc>
          <w:tcPr>
            <w:tcW w:type="dxa" w:w="3888"/>
            <w:vAlign w:val="center"/>
          </w:tcPr>
          <w:p>
            <w:r/>
            <w:r>
              <w:rPr>
                <w:rFonts w:ascii="Aptos" w:hAnsi="Aptos"/>
                <w:b w:val="0"/>
                <w:sz w:val="17"/>
              </w:rPr>
              <w:t>7,043</w:t>
            </w:r>
          </w:p>
        </w:tc>
      </w:tr>
      <w:tr>
        <w:tc>
          <w:tcPr>
            <w:tcW w:type="dxa" w:w="5328"/>
            <w:vAlign w:val="center"/>
            <w:shd w:fill="F4F7F9"/>
          </w:tcPr>
          <w:p>
            <w:r/>
            <w:r>
              <w:rPr>
                <w:rFonts w:ascii="Aptos" w:hAnsi="Aptos"/>
                <w:b w:val="0"/>
                <w:sz w:val="17"/>
              </w:rPr>
              <w:t>Churned customers</w:t>
            </w:r>
          </w:p>
        </w:tc>
        <w:tc>
          <w:tcPr>
            <w:tcW w:type="dxa" w:w="3888"/>
            <w:vAlign w:val="center"/>
            <w:shd w:fill="F4F7F9"/>
          </w:tcPr>
          <w:p>
            <w:r/>
            <w:r>
              <w:rPr>
                <w:rFonts w:ascii="Aptos" w:hAnsi="Aptos"/>
                <w:b w:val="0"/>
                <w:sz w:val="17"/>
              </w:rPr>
              <w:t>1,869</w:t>
            </w:r>
          </w:p>
        </w:tc>
      </w:tr>
      <w:tr>
        <w:tc>
          <w:tcPr>
            <w:tcW w:type="dxa" w:w="5328"/>
            <w:vAlign w:val="center"/>
          </w:tcPr>
          <w:p>
            <w:r/>
            <w:r>
              <w:rPr>
                <w:rFonts w:ascii="Aptos" w:hAnsi="Aptos"/>
                <w:b w:val="0"/>
                <w:sz w:val="17"/>
              </w:rPr>
              <w:t>Overall churn rate</w:t>
            </w:r>
          </w:p>
        </w:tc>
        <w:tc>
          <w:tcPr>
            <w:tcW w:type="dxa" w:w="3888"/>
            <w:vAlign w:val="center"/>
          </w:tcPr>
          <w:p>
            <w:r/>
            <w:r>
              <w:rPr>
                <w:rFonts w:ascii="Aptos" w:hAnsi="Aptos"/>
                <w:b w:val="0"/>
                <w:sz w:val="17"/>
              </w:rPr>
              <w:t>26.54%</w:t>
            </w:r>
          </w:p>
        </w:tc>
      </w:tr>
      <w:tr>
        <w:tc>
          <w:tcPr>
            <w:tcW w:type="dxa" w:w="5328"/>
            <w:vAlign w:val="center"/>
            <w:shd w:fill="F4F7F9"/>
          </w:tcPr>
          <w:p>
            <w:r/>
            <w:r>
              <w:rPr>
                <w:rFonts w:ascii="Aptos" w:hAnsi="Aptos"/>
                <w:b w:val="0"/>
                <w:sz w:val="17"/>
              </w:rPr>
              <w:t>Churn rate excluding recent joins</w:t>
            </w:r>
          </w:p>
        </w:tc>
        <w:tc>
          <w:tcPr>
            <w:tcW w:type="dxa" w:w="3888"/>
            <w:vAlign w:val="center"/>
            <w:shd w:fill="F4F7F9"/>
          </w:tcPr>
          <w:p>
            <w:r/>
            <w:r>
              <w:rPr>
                <w:rFonts w:ascii="Aptos" w:hAnsi="Aptos"/>
                <w:b w:val="0"/>
                <w:sz w:val="17"/>
              </w:rPr>
              <w:t>28.37%</w:t>
            </w:r>
          </w:p>
        </w:tc>
      </w:tr>
      <w:tr>
        <w:tc>
          <w:tcPr>
            <w:tcW w:type="dxa" w:w="5328"/>
            <w:vAlign w:val="center"/>
          </w:tcPr>
          <w:p>
            <w:r/>
            <w:r>
              <w:rPr>
                <w:rFonts w:ascii="Aptos" w:hAnsi="Aptos"/>
                <w:b w:val="0"/>
                <w:sz w:val="17"/>
              </w:rPr>
              <w:t>Historical revenue from churned customers</w:t>
            </w:r>
          </w:p>
        </w:tc>
        <w:tc>
          <w:tcPr>
            <w:tcW w:type="dxa" w:w="3888"/>
            <w:vAlign w:val="center"/>
          </w:tcPr>
          <w:p>
            <w:r/>
            <w:r>
              <w:rPr>
                <w:rFonts w:ascii="Aptos" w:hAnsi="Aptos"/>
                <w:b w:val="0"/>
                <w:sz w:val="17"/>
              </w:rPr>
              <w:t>$3,684,459.82</w:t>
            </w:r>
          </w:p>
        </w:tc>
      </w:tr>
      <w:tr>
        <w:tc>
          <w:tcPr>
            <w:tcW w:type="dxa" w:w="5328"/>
            <w:vAlign w:val="center"/>
            <w:shd w:fill="F4F7F9"/>
          </w:tcPr>
          <w:p>
            <w:r/>
            <w:r>
              <w:rPr>
                <w:rFonts w:ascii="Aptos" w:hAnsi="Aptos"/>
                <w:b w:val="0"/>
                <w:sz w:val="17"/>
              </w:rPr>
              <w:t>Priority-retention segment</w:t>
            </w:r>
          </w:p>
        </w:tc>
        <w:tc>
          <w:tcPr>
            <w:tcW w:type="dxa" w:w="3888"/>
            <w:vAlign w:val="center"/>
            <w:shd w:fill="F4F7F9"/>
          </w:tcPr>
          <w:p>
            <w:r/>
            <w:r>
              <w:rPr>
                <w:rFonts w:ascii="Aptos" w:hAnsi="Aptos"/>
                <w:b w:val="0"/>
                <w:sz w:val="17"/>
              </w:rPr>
              <w:t>442 active customers</w:t>
            </w:r>
          </w:p>
        </w:tc>
      </w:tr>
    </w:tbl>
    <w:p>
      <w:pPr>
        <w:spacing w:after="20"/>
      </w:pPr>
    </w:p>
    <w:p>
      <w:pPr>
        <w:pStyle w:val="Heading1"/>
      </w:pPr>
      <w:r>
        <w:t>Business Problem and Objectives</w:t>
      </w:r>
    </w:p>
    <w:p>
      <w:r>
        <w:t>TeleConnect needs to understand who is leaving, why churn occurs, which customer groups require attention, and how SQL analysis can support retention decisions. The project addresses the following objectives:</w:t>
      </w:r>
    </w:p>
    <w:p>
      <w:pPr>
        <w:pStyle w:val="ListBullet"/>
        <w:spacing w:after="40"/>
      </w:pPr>
      <w:r>
        <w:t>Measure customer status and define churn-rate denominators clearly.</w:t>
      </w:r>
    </w:p>
    <w:p>
      <w:pPr>
        <w:pStyle w:val="ListBullet"/>
        <w:spacing w:after="40"/>
      </w:pPr>
      <w:r>
        <w:t>Compare churn across contract, payment method, internet type, tenure, service adoption, revenue tier, and location.</w:t>
      </w:r>
    </w:p>
    <w:p>
      <w:pPr>
        <w:pStyle w:val="ListBullet"/>
        <w:spacing w:after="40"/>
      </w:pPr>
      <w:r>
        <w:t>Identify the most frequent churn categories and specific reasons.</w:t>
      </w:r>
    </w:p>
    <w:p>
      <w:pPr>
        <w:pStyle w:val="ListBullet"/>
        <w:spacing w:after="40"/>
      </w:pPr>
      <w:r>
        <w:t>Quantify historical revenue associated with churned customers without misrepresenting it as future loss.</w:t>
      </w:r>
    </w:p>
    <w:p>
      <w:pPr>
        <w:pStyle w:val="ListBullet"/>
        <w:spacing w:after="40"/>
      </w:pPr>
      <w:r>
        <w:t>Create a transparent rule-based segment for retention outreach.</w:t>
      </w:r>
    </w:p>
    <w:p>
      <w:pPr>
        <w:pStyle w:val="ListBullet"/>
        <w:spacing w:after="40"/>
      </w:pPr>
      <w:r>
        <w:t>Demonstrate reproducible SQL, relational modelling, validation, and documentation practices.</w:t>
      </w:r>
    </w:p>
    <w:p>
      <w:r>
        <w:br w:type="page"/>
      </w:r>
    </w:p>
    <w:p>
      <w:pPr>
        <w:pStyle w:val="Heading1"/>
      </w:pPr>
      <w:r>
        <w:t>Data Source and Scope</w:t>
      </w:r>
    </w:p>
    <w:p>
      <w:r>
        <w:t>The project uses the Maven Analytics Telecom Customer Churn dataset, based on IBM's fictional telecommunications sample. The source represents a customer snapshot at the end of Q2 2022 and includes demographics, location, subscribed services, billing, customer status, churn categories, and churn reasons.</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15324B"/>
          </w:tcPr>
          <w:p>
            <w:r/>
            <w:r>
              <w:rPr>
                <w:rFonts w:ascii="Aptos" w:hAnsi="Aptos"/>
                <w:b/>
                <w:color w:val="FFFFFF"/>
                <w:sz w:val="17"/>
              </w:rPr>
              <w:t>Source file</w:t>
            </w:r>
          </w:p>
        </w:tc>
        <w:tc>
          <w:tcPr>
            <w:tcW w:type="dxa" w:w="1440"/>
            <w:vAlign w:val="center"/>
            <w:shd w:fill="15324B"/>
          </w:tcPr>
          <w:p>
            <w:r/>
            <w:r>
              <w:rPr>
                <w:rFonts w:ascii="Aptos" w:hAnsi="Aptos"/>
                <w:b/>
                <w:color w:val="FFFFFF"/>
                <w:sz w:val="17"/>
              </w:rPr>
              <w:t>Rows</w:t>
            </w:r>
          </w:p>
        </w:tc>
        <w:tc>
          <w:tcPr>
            <w:tcW w:type="dxa" w:w="4896"/>
            <w:vAlign w:val="center"/>
            <w:shd w:fill="15324B"/>
          </w:tcPr>
          <w:p>
            <w:r/>
            <w:r>
              <w:rPr>
                <w:rFonts w:ascii="Aptos" w:hAnsi="Aptos"/>
                <w:b/>
                <w:color w:val="FFFFFF"/>
                <w:sz w:val="17"/>
              </w:rPr>
              <w:t>Purpose</w:t>
            </w:r>
          </w:p>
        </w:tc>
      </w:tr>
      <w:tr>
        <w:tc>
          <w:tcPr>
            <w:tcW w:type="dxa" w:w="3168"/>
            <w:vAlign w:val="center"/>
          </w:tcPr>
          <w:p>
            <w:r/>
            <w:r>
              <w:rPr>
                <w:rFonts w:ascii="Aptos" w:hAnsi="Aptos"/>
                <w:b w:val="0"/>
                <w:sz w:val="17"/>
              </w:rPr>
              <w:t>telecom_customer_churn.csv</w:t>
            </w:r>
          </w:p>
        </w:tc>
        <w:tc>
          <w:tcPr>
            <w:tcW w:type="dxa" w:w="1440"/>
            <w:vAlign w:val="center"/>
          </w:tcPr>
          <w:p>
            <w:r/>
            <w:r>
              <w:rPr>
                <w:rFonts w:ascii="Aptos" w:hAnsi="Aptos"/>
                <w:b w:val="0"/>
                <w:sz w:val="17"/>
              </w:rPr>
              <w:t>7,043</w:t>
            </w:r>
          </w:p>
        </w:tc>
        <w:tc>
          <w:tcPr>
            <w:tcW w:type="dxa" w:w="4896"/>
            <w:vAlign w:val="center"/>
          </w:tcPr>
          <w:p>
            <w:r/>
            <w:r>
              <w:rPr>
                <w:rFonts w:ascii="Aptos" w:hAnsi="Aptos"/>
                <w:b w:val="0"/>
                <w:sz w:val="17"/>
              </w:rPr>
              <w:t>Customer demographics, services, billing, and churn outcome</w:t>
            </w:r>
          </w:p>
        </w:tc>
      </w:tr>
      <w:tr>
        <w:tc>
          <w:tcPr>
            <w:tcW w:type="dxa" w:w="3168"/>
            <w:vAlign w:val="center"/>
            <w:shd w:fill="F4F7F9"/>
          </w:tcPr>
          <w:p>
            <w:r/>
            <w:r>
              <w:rPr>
                <w:rFonts w:ascii="Aptos" w:hAnsi="Aptos"/>
                <w:b w:val="0"/>
                <w:sz w:val="17"/>
              </w:rPr>
              <w:t>telecom_zipcode_population.csv</w:t>
            </w:r>
          </w:p>
        </w:tc>
        <w:tc>
          <w:tcPr>
            <w:tcW w:type="dxa" w:w="1440"/>
            <w:vAlign w:val="center"/>
            <w:shd w:fill="F4F7F9"/>
          </w:tcPr>
          <w:p>
            <w:r/>
            <w:r>
              <w:rPr>
                <w:rFonts w:ascii="Aptos" w:hAnsi="Aptos"/>
                <w:b w:val="0"/>
                <w:sz w:val="17"/>
              </w:rPr>
              <w:t>1,671</w:t>
            </w:r>
          </w:p>
        </w:tc>
        <w:tc>
          <w:tcPr>
            <w:tcW w:type="dxa" w:w="4896"/>
            <w:vAlign w:val="center"/>
            <w:shd w:fill="F4F7F9"/>
          </w:tcPr>
          <w:p>
            <w:r/>
            <w:r>
              <w:rPr>
                <w:rFonts w:ascii="Aptos" w:hAnsi="Aptos"/>
                <w:b w:val="0"/>
                <w:sz w:val="17"/>
              </w:rPr>
              <w:t>California population by ZIP code</w:t>
            </w:r>
          </w:p>
        </w:tc>
      </w:tr>
      <w:tr>
        <w:tc>
          <w:tcPr>
            <w:tcW w:type="dxa" w:w="3168"/>
            <w:vAlign w:val="center"/>
          </w:tcPr>
          <w:p>
            <w:r/>
            <w:r>
              <w:rPr>
                <w:rFonts w:ascii="Aptos" w:hAnsi="Aptos"/>
                <w:b w:val="0"/>
                <w:sz w:val="17"/>
              </w:rPr>
              <w:t>telecom_data_dictionary.csv</w:t>
            </w:r>
          </w:p>
        </w:tc>
        <w:tc>
          <w:tcPr>
            <w:tcW w:type="dxa" w:w="1440"/>
            <w:vAlign w:val="center"/>
          </w:tcPr>
          <w:p>
            <w:r/>
            <w:r>
              <w:rPr>
                <w:rFonts w:ascii="Aptos" w:hAnsi="Aptos"/>
                <w:b w:val="0"/>
                <w:sz w:val="17"/>
              </w:rPr>
              <w:t>40 definitions</w:t>
            </w:r>
          </w:p>
        </w:tc>
        <w:tc>
          <w:tcPr>
            <w:tcW w:type="dxa" w:w="4896"/>
            <w:vAlign w:val="center"/>
          </w:tcPr>
          <w:p>
            <w:r/>
            <w:r>
              <w:rPr>
                <w:rFonts w:ascii="Aptos" w:hAnsi="Aptos"/>
                <w:b w:val="0"/>
                <w:sz w:val="17"/>
              </w:rPr>
              <w:t>Field descriptions and business meaning</w:t>
            </w:r>
          </w:p>
        </w:tc>
      </w:tr>
    </w:tbl>
    <w:p>
      <w:pPr>
        <w:spacing w:after="20"/>
      </w:pPr>
    </w:p>
    <w:p>
      <w:r>
        <w:t>Dataset source: https://mavenanalytics.io/data-playground/telecom-customer-churn</w:t>
      </w:r>
    </w:p>
    <w:p>
      <w:pPr>
        <w:pStyle w:val="Heading1"/>
      </w:pPr>
      <w:r>
        <w:t>Database Design</w:t>
      </w:r>
    </w:p>
    <w:p>
      <w:r>
        <w:t>The flat source was normalized into five core tables so that demographics, services, billing, churn outcomes, and ZIP-level population could be maintained and queried separately. The design supports meaningful joins and reduces repeated analytical logic.</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5324B"/>
          </w:tcPr>
          <w:p>
            <w:r/>
            <w:r>
              <w:rPr>
                <w:rFonts w:ascii="Aptos" w:hAnsi="Aptos"/>
                <w:b/>
                <w:color w:val="FFFFFF"/>
                <w:sz w:val="17"/>
              </w:rPr>
              <w:t>Table</w:t>
            </w:r>
          </w:p>
        </w:tc>
        <w:tc>
          <w:tcPr>
            <w:tcW w:type="dxa" w:w="5472"/>
            <w:vAlign w:val="center"/>
            <w:shd w:fill="15324B"/>
          </w:tcPr>
          <w:p>
            <w:r/>
            <w:r>
              <w:rPr>
                <w:rFonts w:ascii="Aptos" w:hAnsi="Aptos"/>
                <w:b/>
                <w:color w:val="FFFFFF"/>
                <w:sz w:val="17"/>
              </w:rPr>
              <w:t>Purpose</w:t>
            </w:r>
          </w:p>
        </w:tc>
        <w:tc>
          <w:tcPr>
            <w:tcW w:type="dxa" w:w="1728"/>
            <w:vAlign w:val="center"/>
            <w:shd w:fill="15324B"/>
          </w:tcPr>
          <w:p>
            <w:r/>
            <w:r>
              <w:rPr>
                <w:rFonts w:ascii="Aptos" w:hAnsi="Aptos"/>
                <w:b/>
                <w:color w:val="FFFFFF"/>
                <w:sz w:val="17"/>
              </w:rPr>
              <w:t>Key</w:t>
            </w:r>
          </w:p>
        </w:tc>
      </w:tr>
      <w:tr>
        <w:tc>
          <w:tcPr>
            <w:tcW w:type="dxa" w:w="2448"/>
            <w:vAlign w:val="center"/>
          </w:tcPr>
          <w:p>
            <w:r/>
            <w:r>
              <w:rPr>
                <w:rFonts w:ascii="Aptos" w:hAnsi="Aptos"/>
                <w:b w:val="0"/>
                <w:sz w:val="17"/>
              </w:rPr>
              <w:t>customers</w:t>
            </w:r>
          </w:p>
        </w:tc>
        <w:tc>
          <w:tcPr>
            <w:tcW w:type="dxa" w:w="5472"/>
            <w:vAlign w:val="center"/>
          </w:tcPr>
          <w:p>
            <w:r/>
            <w:r>
              <w:rPr>
                <w:rFonts w:ascii="Aptos" w:hAnsi="Aptos"/>
                <w:b w:val="0"/>
                <w:sz w:val="17"/>
              </w:rPr>
              <w:t>Demographics and customer location</w:t>
            </w:r>
          </w:p>
        </w:tc>
        <w:tc>
          <w:tcPr>
            <w:tcW w:type="dxa" w:w="1728"/>
            <w:vAlign w:val="center"/>
          </w:tcPr>
          <w:p>
            <w:r/>
            <w:r>
              <w:rPr>
                <w:rFonts w:ascii="Aptos" w:hAnsi="Aptos"/>
                <w:b w:val="0"/>
                <w:sz w:val="17"/>
              </w:rPr>
              <w:t>customer_id</w:t>
            </w:r>
          </w:p>
        </w:tc>
      </w:tr>
      <w:tr>
        <w:tc>
          <w:tcPr>
            <w:tcW w:type="dxa" w:w="2448"/>
            <w:vAlign w:val="center"/>
            <w:shd w:fill="F4F7F9"/>
          </w:tcPr>
          <w:p>
            <w:r/>
            <w:r>
              <w:rPr>
                <w:rFonts w:ascii="Aptos" w:hAnsi="Aptos"/>
                <w:b w:val="0"/>
                <w:sz w:val="17"/>
              </w:rPr>
              <w:t>customer_services</w:t>
            </w:r>
          </w:p>
        </w:tc>
        <w:tc>
          <w:tcPr>
            <w:tcW w:type="dxa" w:w="5472"/>
            <w:vAlign w:val="center"/>
            <w:shd w:fill="F4F7F9"/>
          </w:tcPr>
          <w:p>
            <w:r/>
            <w:r>
              <w:rPr>
                <w:rFonts w:ascii="Aptos" w:hAnsi="Aptos"/>
                <w:b w:val="0"/>
                <w:sz w:val="17"/>
              </w:rPr>
              <w:t>Phone, internet, streaming, and support services</w:t>
            </w:r>
          </w:p>
        </w:tc>
        <w:tc>
          <w:tcPr>
            <w:tcW w:type="dxa" w:w="1728"/>
            <w:vAlign w:val="center"/>
            <w:shd w:fill="F4F7F9"/>
          </w:tcPr>
          <w:p>
            <w:r/>
            <w:r>
              <w:rPr>
                <w:rFonts w:ascii="Aptos" w:hAnsi="Aptos"/>
                <w:b w:val="0"/>
                <w:sz w:val="17"/>
              </w:rPr>
              <w:t>customer_id</w:t>
            </w:r>
          </w:p>
        </w:tc>
      </w:tr>
      <w:tr>
        <w:tc>
          <w:tcPr>
            <w:tcW w:type="dxa" w:w="2448"/>
            <w:vAlign w:val="center"/>
          </w:tcPr>
          <w:p>
            <w:r/>
            <w:r>
              <w:rPr>
                <w:rFonts w:ascii="Aptos" w:hAnsi="Aptos"/>
                <w:b w:val="0"/>
                <w:sz w:val="17"/>
              </w:rPr>
              <w:t>customer_billing</w:t>
            </w:r>
          </w:p>
        </w:tc>
        <w:tc>
          <w:tcPr>
            <w:tcW w:type="dxa" w:w="5472"/>
            <w:vAlign w:val="center"/>
          </w:tcPr>
          <w:p>
            <w:r/>
            <w:r>
              <w:rPr>
                <w:rFonts w:ascii="Aptos" w:hAnsi="Aptos"/>
                <w:b w:val="0"/>
                <w:sz w:val="17"/>
              </w:rPr>
              <w:t>Tenure, contract, payment, charges, and historical revenue</w:t>
            </w:r>
          </w:p>
        </w:tc>
        <w:tc>
          <w:tcPr>
            <w:tcW w:type="dxa" w:w="1728"/>
            <w:vAlign w:val="center"/>
          </w:tcPr>
          <w:p>
            <w:r/>
            <w:r>
              <w:rPr>
                <w:rFonts w:ascii="Aptos" w:hAnsi="Aptos"/>
                <w:b w:val="0"/>
                <w:sz w:val="17"/>
              </w:rPr>
              <w:t>customer_id</w:t>
            </w:r>
          </w:p>
        </w:tc>
      </w:tr>
      <w:tr>
        <w:tc>
          <w:tcPr>
            <w:tcW w:type="dxa" w:w="2448"/>
            <w:vAlign w:val="center"/>
            <w:shd w:fill="F4F7F9"/>
          </w:tcPr>
          <w:p>
            <w:r/>
            <w:r>
              <w:rPr>
                <w:rFonts w:ascii="Aptos" w:hAnsi="Aptos"/>
                <w:b w:val="0"/>
                <w:sz w:val="17"/>
              </w:rPr>
              <w:t>customer_churn_status</w:t>
            </w:r>
          </w:p>
        </w:tc>
        <w:tc>
          <w:tcPr>
            <w:tcW w:type="dxa" w:w="5472"/>
            <w:vAlign w:val="center"/>
            <w:shd w:fill="F4F7F9"/>
          </w:tcPr>
          <w:p>
            <w:r/>
            <w:r>
              <w:rPr>
                <w:rFonts w:ascii="Aptos" w:hAnsi="Aptos"/>
                <w:b w:val="0"/>
                <w:sz w:val="17"/>
              </w:rPr>
              <w:t>Status, churn category, and churn reason</w:t>
            </w:r>
          </w:p>
        </w:tc>
        <w:tc>
          <w:tcPr>
            <w:tcW w:type="dxa" w:w="1728"/>
            <w:vAlign w:val="center"/>
            <w:shd w:fill="F4F7F9"/>
          </w:tcPr>
          <w:p>
            <w:r/>
            <w:r>
              <w:rPr>
                <w:rFonts w:ascii="Aptos" w:hAnsi="Aptos"/>
                <w:b w:val="0"/>
                <w:sz w:val="17"/>
              </w:rPr>
              <w:t>customer_id</w:t>
            </w:r>
          </w:p>
        </w:tc>
      </w:tr>
      <w:tr>
        <w:tc>
          <w:tcPr>
            <w:tcW w:type="dxa" w:w="2448"/>
            <w:vAlign w:val="center"/>
          </w:tcPr>
          <w:p>
            <w:r/>
            <w:r>
              <w:rPr>
                <w:rFonts w:ascii="Aptos" w:hAnsi="Aptos"/>
                <w:b w:val="0"/>
                <w:sz w:val="17"/>
              </w:rPr>
              <w:t>zip_population</w:t>
            </w:r>
          </w:p>
        </w:tc>
        <w:tc>
          <w:tcPr>
            <w:tcW w:type="dxa" w:w="5472"/>
            <w:vAlign w:val="center"/>
          </w:tcPr>
          <w:p>
            <w:r/>
            <w:r>
              <w:rPr>
                <w:rFonts w:ascii="Aptos" w:hAnsi="Aptos"/>
                <w:b w:val="0"/>
                <w:sz w:val="17"/>
              </w:rPr>
              <w:t>Population by California ZIP code</w:t>
            </w:r>
          </w:p>
        </w:tc>
        <w:tc>
          <w:tcPr>
            <w:tcW w:type="dxa" w:w="1728"/>
            <w:vAlign w:val="center"/>
          </w:tcPr>
          <w:p>
            <w:r/>
            <w:r>
              <w:rPr>
                <w:rFonts w:ascii="Aptos" w:hAnsi="Aptos"/>
                <w:b w:val="0"/>
                <w:sz w:val="17"/>
              </w:rPr>
              <w:t>zip_code</w:t>
            </w:r>
          </w:p>
        </w:tc>
      </w:tr>
    </w:tbl>
    <w:p>
      <w:pPr>
        <w:spacing w:after="20"/>
      </w:pPr>
    </w:p>
    <w:p>
      <w:pPr>
        <w:keepNext/>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02_mysql_eer_diagram.png"/>
                    <pic:cNvPicPr/>
                  </pic:nvPicPr>
                  <pic:blipFill>
                    <a:blip r:embed="rId10"/>
                    <a:stretch>
                      <a:fillRect/>
                    </a:stretch>
                  </pic:blipFill>
                  <pic:spPr>
                    <a:xfrm>
                      <a:off x="0" y="0"/>
                      <a:ext cx="6309360" cy="3549015"/>
                    </a:xfrm>
                    <a:prstGeom prst="rect"/>
                  </pic:spPr>
                </pic:pic>
              </a:graphicData>
            </a:graphic>
          </wp:inline>
        </w:drawing>
      </w:r>
    </w:p>
    <w:p>
      <w:pPr>
        <w:pStyle w:val="FigureCaption"/>
        <w:jc w:val="center"/>
      </w:pPr>
      <w:r>
        <w:t>Figure 1. MySQL Workbench EER diagram showing the project tables and relationships.</w:t>
      </w:r>
    </w:p>
    <w:p>
      <w:pPr>
        <w:pStyle w:val="Heading1"/>
      </w:pPr>
      <w:r>
        <w:t>ETL and Data Validation</w:t>
      </w:r>
    </w:p>
    <w:p>
      <w:r>
        <w:t>The project uses a staging-table pattern. The customer CSV is first loaded into `stg_telecom_raw`, where its original structure is preserved. `INSERT ... SELECT` statements then populate the normalized tables with explicit casts and null handling.</w:t>
      </w:r>
    </w:p>
    <w:p>
      <w:pPr>
        <w:pStyle w:val="Heading2"/>
      </w:pPr>
      <w:r>
        <w:t>Validation results</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center"/>
            <w:shd w:fill="15324B"/>
          </w:tcPr>
          <w:p>
            <w:r/>
            <w:r>
              <w:rPr>
                <w:rFonts w:ascii="Aptos" w:hAnsi="Aptos"/>
                <w:b/>
                <w:color w:val="FFFFFF"/>
                <w:sz w:val="17"/>
              </w:rPr>
              <w:t>Check</w:t>
            </w:r>
          </w:p>
        </w:tc>
        <w:tc>
          <w:tcPr>
            <w:tcW w:type="dxa" w:w="3024"/>
            <w:vAlign w:val="center"/>
            <w:shd w:fill="15324B"/>
          </w:tcPr>
          <w:p>
            <w:r/>
            <w:r>
              <w:rPr>
                <w:rFonts w:ascii="Aptos" w:hAnsi="Aptos"/>
                <w:b/>
                <w:color w:val="FFFFFF"/>
                <w:sz w:val="17"/>
              </w:rPr>
              <w:t>Result</w:t>
            </w:r>
          </w:p>
        </w:tc>
        <w:tc>
          <w:tcPr>
            <w:tcW w:type="dxa" w:w="3600"/>
            <w:vAlign w:val="center"/>
            <w:shd w:fill="15324B"/>
          </w:tcPr>
          <w:p>
            <w:r/>
            <w:r>
              <w:rPr>
                <w:rFonts w:ascii="Aptos" w:hAnsi="Aptos"/>
                <w:b/>
                <w:color w:val="FFFFFF"/>
                <w:sz w:val="17"/>
              </w:rPr>
              <w:t>Conclusion</w:t>
            </w:r>
          </w:p>
        </w:tc>
      </w:tr>
      <w:tr>
        <w:tc>
          <w:tcPr>
            <w:tcW w:type="dxa" w:w="3024"/>
            <w:vAlign w:val="center"/>
          </w:tcPr>
          <w:p>
            <w:r/>
            <w:r>
              <w:rPr>
                <w:rFonts w:ascii="Aptos" w:hAnsi="Aptos"/>
                <w:b w:val="0"/>
                <w:sz w:val="17"/>
              </w:rPr>
              <w:t>Customer IDs</w:t>
            </w:r>
          </w:p>
        </w:tc>
        <w:tc>
          <w:tcPr>
            <w:tcW w:type="dxa" w:w="3024"/>
            <w:vAlign w:val="center"/>
          </w:tcPr>
          <w:p>
            <w:r/>
            <w:r>
              <w:rPr>
                <w:rFonts w:ascii="Aptos" w:hAnsi="Aptos"/>
                <w:b w:val="0"/>
                <w:sz w:val="17"/>
              </w:rPr>
              <w:t>7,043 unique; 0 duplicates</w:t>
            </w:r>
          </w:p>
        </w:tc>
        <w:tc>
          <w:tcPr>
            <w:tcW w:type="dxa" w:w="3600"/>
            <w:vAlign w:val="center"/>
          </w:tcPr>
          <w:p>
            <w:r/>
            <w:r>
              <w:rPr>
                <w:rFonts w:ascii="Aptos" w:hAnsi="Aptos"/>
                <w:b w:val="0"/>
                <w:sz w:val="17"/>
              </w:rPr>
              <w:t>Primary-key check passed</w:t>
            </w:r>
          </w:p>
        </w:tc>
      </w:tr>
      <w:tr>
        <w:tc>
          <w:tcPr>
            <w:tcW w:type="dxa" w:w="3024"/>
            <w:vAlign w:val="center"/>
            <w:shd w:fill="F4F7F9"/>
          </w:tcPr>
          <w:p>
            <w:r/>
            <w:r>
              <w:rPr>
                <w:rFonts w:ascii="Aptos" w:hAnsi="Aptos"/>
                <w:b w:val="0"/>
                <w:sz w:val="17"/>
              </w:rPr>
              <w:t>ZIP-code references</w:t>
            </w:r>
          </w:p>
        </w:tc>
        <w:tc>
          <w:tcPr>
            <w:tcW w:type="dxa" w:w="3024"/>
            <w:vAlign w:val="center"/>
            <w:shd w:fill="F4F7F9"/>
          </w:tcPr>
          <w:p>
            <w:r/>
            <w:r>
              <w:rPr>
                <w:rFonts w:ascii="Aptos" w:hAnsi="Aptos"/>
                <w:b w:val="0"/>
                <w:sz w:val="17"/>
              </w:rPr>
              <w:t>0 unmatched</w:t>
            </w:r>
          </w:p>
        </w:tc>
        <w:tc>
          <w:tcPr>
            <w:tcW w:type="dxa" w:w="3600"/>
            <w:vAlign w:val="center"/>
            <w:shd w:fill="F4F7F9"/>
          </w:tcPr>
          <w:p>
            <w:r/>
            <w:r>
              <w:rPr>
                <w:rFonts w:ascii="Aptos" w:hAnsi="Aptos"/>
                <w:b w:val="0"/>
                <w:sz w:val="17"/>
              </w:rPr>
              <w:t>Foreign-key coverage passed</w:t>
            </w:r>
          </w:p>
        </w:tc>
      </w:tr>
      <w:tr>
        <w:tc>
          <w:tcPr>
            <w:tcW w:type="dxa" w:w="3024"/>
            <w:vAlign w:val="center"/>
          </w:tcPr>
          <w:p>
            <w:r/>
            <w:r>
              <w:rPr>
                <w:rFonts w:ascii="Aptos" w:hAnsi="Aptos"/>
                <w:b w:val="0"/>
                <w:sz w:val="17"/>
              </w:rPr>
              <w:t>Churn reasons</w:t>
            </w:r>
          </w:p>
        </w:tc>
        <w:tc>
          <w:tcPr>
            <w:tcW w:type="dxa" w:w="3024"/>
            <w:vAlign w:val="center"/>
          </w:tcPr>
          <w:p>
            <w:r/>
            <w:r>
              <w:rPr>
                <w:rFonts w:ascii="Aptos" w:hAnsi="Aptos"/>
                <w:b w:val="0"/>
                <w:sz w:val="17"/>
              </w:rPr>
              <w:t>0 missing among churned customers</w:t>
            </w:r>
          </w:p>
        </w:tc>
        <w:tc>
          <w:tcPr>
            <w:tcW w:type="dxa" w:w="3600"/>
            <w:vAlign w:val="center"/>
          </w:tcPr>
          <w:p>
            <w:r/>
            <w:r>
              <w:rPr>
                <w:rFonts w:ascii="Aptos" w:hAnsi="Aptos"/>
                <w:b w:val="0"/>
                <w:sz w:val="17"/>
              </w:rPr>
              <w:t>Business rule passed</w:t>
            </w:r>
          </w:p>
        </w:tc>
      </w:tr>
      <w:tr>
        <w:tc>
          <w:tcPr>
            <w:tcW w:type="dxa" w:w="3024"/>
            <w:vAlign w:val="center"/>
            <w:shd w:fill="F4F7F9"/>
          </w:tcPr>
          <w:p>
            <w:r/>
            <w:r>
              <w:rPr>
                <w:rFonts w:ascii="Aptos" w:hAnsi="Aptos"/>
                <w:b w:val="0"/>
                <w:sz w:val="17"/>
              </w:rPr>
              <w:t>Revenue formula</w:t>
            </w:r>
          </w:p>
        </w:tc>
        <w:tc>
          <w:tcPr>
            <w:tcW w:type="dxa" w:w="3024"/>
            <w:vAlign w:val="center"/>
            <w:shd w:fill="F4F7F9"/>
          </w:tcPr>
          <w:p>
            <w:r/>
            <w:r>
              <w:rPr>
                <w:rFonts w:ascii="Aptos" w:hAnsi="Aptos"/>
                <w:b w:val="0"/>
                <w:sz w:val="17"/>
              </w:rPr>
              <w:t>0 mismatches</w:t>
            </w:r>
          </w:p>
        </w:tc>
        <w:tc>
          <w:tcPr>
            <w:tcW w:type="dxa" w:w="3600"/>
            <w:vAlign w:val="center"/>
            <w:shd w:fill="F4F7F9"/>
          </w:tcPr>
          <w:p>
            <w:r/>
            <w:r>
              <w:rPr>
                <w:rFonts w:ascii="Aptos" w:hAnsi="Aptos"/>
                <w:b w:val="0"/>
                <w:sz w:val="17"/>
              </w:rPr>
              <w:t>Stored revenue reconciled</w:t>
            </w:r>
          </w:p>
        </w:tc>
      </w:tr>
      <w:tr>
        <w:tc>
          <w:tcPr>
            <w:tcW w:type="dxa" w:w="3024"/>
            <w:vAlign w:val="center"/>
          </w:tcPr>
          <w:p>
            <w:r/>
            <w:r>
              <w:rPr>
                <w:rFonts w:ascii="Aptos" w:hAnsi="Aptos"/>
                <w:b w:val="0"/>
                <w:sz w:val="17"/>
              </w:rPr>
              <w:t>Negative monthly charge</w:t>
            </w:r>
          </w:p>
        </w:tc>
        <w:tc>
          <w:tcPr>
            <w:tcW w:type="dxa" w:w="3024"/>
            <w:vAlign w:val="center"/>
          </w:tcPr>
          <w:p>
            <w:r/>
            <w:r>
              <w:rPr>
                <w:rFonts w:ascii="Aptos" w:hAnsi="Aptos"/>
                <w:b w:val="0"/>
                <w:sz w:val="17"/>
              </w:rPr>
              <w:t>120 records</w:t>
            </w:r>
          </w:p>
        </w:tc>
        <w:tc>
          <w:tcPr>
            <w:tcW w:type="dxa" w:w="3600"/>
            <w:vAlign w:val="center"/>
          </w:tcPr>
          <w:p>
            <w:r/>
            <w:r>
              <w:rPr>
                <w:rFonts w:ascii="Aptos" w:hAnsi="Aptos"/>
                <w:b w:val="0"/>
                <w:sz w:val="17"/>
              </w:rPr>
              <w:t>Flagged; source preserved</w:t>
            </w:r>
          </w:p>
        </w:tc>
      </w:tr>
    </w:tbl>
    <w:p>
      <w:pPr>
        <w:spacing w:after="20"/>
      </w:pPr>
    </w:p>
    <w:p>
      <w:pPr>
        <w:pStyle w:val="Heading2"/>
      </w:pPr>
      <w:r>
        <w:t>Monthly-charge anomaly decision</w:t>
      </w:r>
    </w:p>
    <w:p>
      <w:r>
        <w:t>The source contains 120 monthly-charge values between -10 and -1. The data dictionary does not explain these values, and applying an absolute-value transformation would not establish the true charge. The audited portfolio version preserves and flags the source values, excludes them from monthly-charge averages, and states the limitation explicitly. After exclusion, average monthly charge was $74.62 for churned customers and $62.96 for customers who stayed.</w:t>
      </w:r>
    </w:p>
    <w:p>
      <w:pPr>
        <w:pStyle w:val="Heading1"/>
      </w:pPr>
      <w:r>
        <w:t>SQL Analysis</w:t>
      </w:r>
    </w:p>
    <w:p>
      <w:r>
        <w:t>Six ordered SQL scripts create the schema, load the data, validate quality, answer business questions, apply advanced techniques, and create reusable views.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5324B"/>
          </w:tcPr>
          <w:p>
            <w:r/>
            <w:r>
              <w:rPr>
                <w:rFonts w:ascii="Aptos" w:hAnsi="Aptos"/>
                <w:b/>
                <w:color w:val="FFFFFF"/>
                <w:sz w:val="17"/>
              </w:rPr>
              <w:t>Technique</w:t>
            </w:r>
          </w:p>
        </w:tc>
        <w:tc>
          <w:tcPr>
            <w:tcW w:type="dxa" w:w="6768"/>
            <w:vAlign w:val="center"/>
            <w:shd w:fill="15324B"/>
          </w:tcPr>
          <w:p>
            <w:r/>
            <w:r>
              <w:rPr>
                <w:rFonts w:ascii="Aptos" w:hAnsi="Aptos"/>
                <w:b/>
                <w:color w:val="FFFFFF"/>
                <w:sz w:val="17"/>
              </w:rPr>
              <w:t>Application</w:t>
            </w:r>
          </w:p>
        </w:tc>
      </w:tr>
      <w:tr>
        <w:tc>
          <w:tcPr>
            <w:tcW w:type="dxa" w:w="2880"/>
            <w:vAlign w:val="center"/>
          </w:tcPr>
          <w:p>
            <w:r/>
            <w:r>
              <w:rPr>
                <w:rFonts w:ascii="Aptos" w:hAnsi="Aptos"/>
                <w:b w:val="0"/>
                <w:sz w:val="17"/>
              </w:rPr>
              <w:t>Conditional aggregation</w:t>
            </w:r>
          </w:p>
        </w:tc>
        <w:tc>
          <w:tcPr>
            <w:tcW w:type="dxa" w:w="6768"/>
            <w:vAlign w:val="center"/>
          </w:tcPr>
          <w:p>
            <w:r/>
            <w:r>
              <w:rPr>
                <w:rFonts w:ascii="Aptos" w:hAnsi="Aptos"/>
                <w:b w:val="0"/>
                <w:sz w:val="17"/>
              </w:rPr>
              <w:t>Customer counts and churn rates within grouped segments</w:t>
            </w:r>
          </w:p>
        </w:tc>
      </w:tr>
      <w:tr>
        <w:tc>
          <w:tcPr>
            <w:tcW w:type="dxa" w:w="2880"/>
            <w:vAlign w:val="center"/>
            <w:shd w:fill="F4F7F9"/>
          </w:tcPr>
          <w:p>
            <w:r/>
            <w:r>
              <w:rPr>
                <w:rFonts w:ascii="Aptos" w:hAnsi="Aptos"/>
                <w:b w:val="0"/>
                <w:sz w:val="17"/>
              </w:rPr>
              <w:t>Joins</w:t>
            </w:r>
          </w:p>
        </w:tc>
        <w:tc>
          <w:tcPr>
            <w:tcW w:type="dxa" w:w="6768"/>
            <w:vAlign w:val="center"/>
            <w:shd w:fill="F4F7F9"/>
          </w:tcPr>
          <w:p>
            <w:r/>
            <w:r>
              <w:rPr>
                <w:rFonts w:ascii="Aptos" w:hAnsi="Aptos"/>
                <w:b w:val="0"/>
                <w:sz w:val="17"/>
              </w:rPr>
              <w:t>Combined customer, billing, service, status, and population records</w:t>
            </w:r>
          </w:p>
        </w:tc>
      </w:tr>
      <w:tr>
        <w:tc>
          <w:tcPr>
            <w:tcW w:type="dxa" w:w="2880"/>
            <w:vAlign w:val="center"/>
          </w:tcPr>
          <w:p>
            <w:r/>
            <w:r>
              <w:rPr>
                <w:rFonts w:ascii="Aptos" w:hAnsi="Aptos"/>
                <w:b w:val="0"/>
                <w:sz w:val="17"/>
              </w:rPr>
              <w:t>CTEs</w:t>
            </w:r>
          </w:p>
        </w:tc>
        <w:tc>
          <w:tcPr>
            <w:tcW w:type="dxa" w:w="6768"/>
            <w:vAlign w:val="center"/>
          </w:tcPr>
          <w:p>
            <w:r/>
            <w:r>
              <w:rPr>
                <w:rFonts w:ascii="Aptos" w:hAnsi="Aptos"/>
                <w:b w:val="0"/>
                <w:sz w:val="17"/>
              </w:rPr>
              <w:t>Contract averages, tenure buckets, and location summaries</w:t>
            </w:r>
          </w:p>
        </w:tc>
      </w:tr>
      <w:tr>
        <w:tc>
          <w:tcPr>
            <w:tcW w:type="dxa" w:w="2880"/>
            <w:vAlign w:val="center"/>
            <w:shd w:fill="F4F7F9"/>
          </w:tcPr>
          <w:p>
            <w:r/>
            <w:r>
              <w:rPr>
                <w:rFonts w:ascii="Aptos" w:hAnsi="Aptos"/>
                <w:b w:val="0"/>
                <w:sz w:val="17"/>
              </w:rPr>
              <w:t>Subqueries</w:t>
            </w:r>
          </w:p>
        </w:tc>
        <w:tc>
          <w:tcPr>
            <w:tcW w:type="dxa" w:w="6768"/>
            <w:vAlign w:val="center"/>
            <w:shd w:fill="F4F7F9"/>
          </w:tcPr>
          <w:p>
            <w:r/>
            <w:r>
              <w:rPr>
                <w:rFonts w:ascii="Aptos" w:hAnsi="Aptos"/>
                <w:b w:val="0"/>
                <w:sz w:val="17"/>
              </w:rPr>
              <w:t>Company-wide and segment-level comparison thresholds</w:t>
            </w:r>
          </w:p>
        </w:tc>
      </w:tr>
      <w:tr>
        <w:tc>
          <w:tcPr>
            <w:tcW w:type="dxa" w:w="2880"/>
            <w:vAlign w:val="center"/>
          </w:tcPr>
          <w:p>
            <w:r/>
            <w:r>
              <w:rPr>
                <w:rFonts w:ascii="Aptos" w:hAnsi="Aptos"/>
                <w:b w:val="0"/>
                <w:sz w:val="17"/>
              </w:rPr>
              <w:t>Window functions</w:t>
            </w:r>
          </w:p>
        </w:tc>
        <w:tc>
          <w:tcPr>
            <w:tcW w:type="dxa" w:w="6768"/>
            <w:vAlign w:val="center"/>
          </w:tcPr>
          <w:p>
            <w:r/>
            <w:r>
              <w:rPr>
                <w:rFonts w:ascii="Aptos" w:hAnsi="Aptos"/>
                <w:b w:val="0"/>
                <w:sz w:val="17"/>
              </w:rPr>
              <w:t>Revenue quartiles, ranks, and cumulative historical revenue</w:t>
            </w:r>
          </w:p>
        </w:tc>
      </w:tr>
      <w:tr>
        <w:tc>
          <w:tcPr>
            <w:tcW w:type="dxa" w:w="2880"/>
            <w:vAlign w:val="center"/>
            <w:shd w:fill="F4F7F9"/>
          </w:tcPr>
          <w:p>
            <w:r/>
            <w:r>
              <w:rPr>
                <w:rFonts w:ascii="Aptos" w:hAnsi="Aptos"/>
                <w:b w:val="0"/>
                <w:sz w:val="17"/>
              </w:rPr>
              <w:t>Views</w:t>
            </w:r>
          </w:p>
        </w:tc>
        <w:tc>
          <w:tcPr>
            <w:tcW w:type="dxa" w:w="6768"/>
            <w:vAlign w:val="center"/>
            <w:shd w:fill="F4F7F9"/>
          </w:tcPr>
          <w:p>
            <w:r/>
            <w:r>
              <w:rPr>
                <w:rFonts w:ascii="Aptos" w:hAnsi="Aptos"/>
                <w:b w:val="0"/>
                <w:sz w:val="17"/>
              </w:rPr>
              <w:t>Customer 360, standardized segment rates, and retention targeting</w:t>
            </w:r>
          </w:p>
        </w:tc>
      </w:tr>
    </w:tbl>
    <w:p>
      <w:pPr>
        <w:spacing w:after="20"/>
      </w:pPr>
    </w:p>
    <w:p>
      <w:pPr>
        <w:pStyle w:val="Heading1"/>
      </w:pPr>
      <w:r>
        <w:t>Verified Results</w:t>
      </w:r>
    </w:p>
    <w:p>
      <w:pPr>
        <w:pStyle w:val="Heading2"/>
      </w:pPr>
      <w:r>
        <w:t>Customer status and churn rate</w:t>
      </w:r>
    </w:p>
    <w:p>
      <w:r>
        <w:t>Of 7,043 customers, 1,869 churned, 4,720 stayed, and 454 recently joined. Churn is 26.54% when all customers are included. Excluding customers classified as newly joined produces a 28.37% rate across customers who had stayed or churned.</w:t>
      </w:r>
    </w:p>
    <w:p>
      <w:pPr>
        <w:keepNext/>
        <w:jc w:val="center"/>
      </w:pPr>
      <w:r>
        <w:drawing>
          <wp:inline xmlns:a="http://schemas.openxmlformats.org/drawingml/2006/main" xmlns:pic="http://schemas.openxmlformats.org/drawingml/2006/picture">
            <wp:extent cx="6263640" cy="3523298"/>
            <wp:docPr id="2" name="Picture 2"/>
            <wp:cNvGraphicFramePr>
              <a:graphicFrameLocks noChangeAspect="1"/>
            </wp:cNvGraphicFramePr>
            <a:graphic>
              <a:graphicData uri="http://schemas.openxmlformats.org/drawingml/2006/picture">
                <pic:pic>
                  <pic:nvPicPr>
                    <pic:cNvPr id="0" name="03_overall_churn_rate.png"/>
                    <pic:cNvPicPr/>
                  </pic:nvPicPr>
                  <pic:blipFill>
                    <a:blip r:embed="rId11"/>
                    <a:stretch>
                      <a:fillRect/>
                    </a:stretch>
                  </pic:blipFill>
                  <pic:spPr>
                    <a:xfrm>
                      <a:off x="0" y="0"/>
                      <a:ext cx="6263640" cy="3523298"/>
                    </a:xfrm>
                    <a:prstGeom prst="rect"/>
                  </pic:spPr>
                </pic:pic>
              </a:graphicData>
            </a:graphic>
          </wp:inline>
        </w:drawing>
      </w:r>
    </w:p>
    <w:p>
      <w:pPr>
        <w:pStyle w:val="FigureCaption"/>
        <w:jc w:val="center"/>
      </w:pPr>
      <w:r>
        <w:t>Figure 2. MySQL query and result showing both churn-rate definitions.</w:t>
      </w:r>
    </w:p>
    <w:p>
      <w:pPr>
        <w:pStyle w:val="Heading2"/>
      </w:pPr>
      <w:r>
        <w:t>Churn by contract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center"/>
            <w:shd w:fill="15324B"/>
          </w:tcPr>
          <w:p>
            <w:r/>
            <w:r>
              <w:rPr>
                <w:rFonts w:ascii="Aptos" w:hAnsi="Aptos"/>
                <w:b/>
                <w:color w:val="FFFFFF"/>
                <w:sz w:val="17"/>
              </w:rPr>
              <w:t>Contract</w:t>
            </w:r>
          </w:p>
        </w:tc>
        <w:tc>
          <w:tcPr>
            <w:tcW w:type="dxa" w:w="2160"/>
            <w:vAlign w:val="center"/>
            <w:shd w:fill="15324B"/>
          </w:tcPr>
          <w:p>
            <w:r/>
            <w:r>
              <w:rPr>
                <w:rFonts w:ascii="Aptos" w:hAnsi="Aptos"/>
                <w:b/>
                <w:color w:val="FFFFFF"/>
                <w:sz w:val="17"/>
              </w:rPr>
              <w:t>Customers</w:t>
            </w:r>
          </w:p>
        </w:tc>
        <w:tc>
          <w:tcPr>
            <w:tcW w:type="dxa" w:w="2160"/>
            <w:vAlign w:val="center"/>
            <w:shd w:fill="15324B"/>
          </w:tcPr>
          <w:p>
            <w:r/>
            <w:r>
              <w:rPr>
                <w:rFonts w:ascii="Aptos" w:hAnsi="Aptos"/>
                <w:b/>
                <w:color w:val="FFFFFF"/>
                <w:sz w:val="17"/>
              </w:rPr>
              <w:t>Churned</w:t>
            </w:r>
          </w:p>
        </w:tc>
        <w:tc>
          <w:tcPr>
            <w:tcW w:type="dxa" w:w="2160"/>
            <w:vAlign w:val="center"/>
            <w:shd w:fill="15324B"/>
          </w:tcPr>
          <w:p>
            <w:r/>
            <w:r>
              <w:rPr>
                <w:rFonts w:ascii="Aptos" w:hAnsi="Aptos"/>
                <w:b/>
                <w:color w:val="FFFFFF"/>
                <w:sz w:val="17"/>
              </w:rPr>
              <w:t>Churn rate</w:t>
            </w:r>
          </w:p>
        </w:tc>
      </w:tr>
      <w:tr>
        <w:tc>
          <w:tcPr>
            <w:tcW w:type="dxa" w:w="2880"/>
            <w:vAlign w:val="center"/>
          </w:tcPr>
          <w:p>
            <w:r/>
            <w:r>
              <w:rPr>
                <w:rFonts w:ascii="Aptos" w:hAnsi="Aptos"/>
                <w:b w:val="0"/>
                <w:sz w:val="17"/>
              </w:rPr>
              <w:t>Month-to-Month</w:t>
            </w:r>
          </w:p>
        </w:tc>
        <w:tc>
          <w:tcPr>
            <w:tcW w:type="dxa" w:w="2160"/>
            <w:vAlign w:val="center"/>
          </w:tcPr>
          <w:p>
            <w:r/>
            <w:r>
              <w:rPr>
                <w:rFonts w:ascii="Aptos" w:hAnsi="Aptos"/>
                <w:b w:val="0"/>
                <w:sz w:val="17"/>
              </w:rPr>
              <w:t>3,610</w:t>
            </w:r>
          </w:p>
        </w:tc>
        <w:tc>
          <w:tcPr>
            <w:tcW w:type="dxa" w:w="2160"/>
            <w:vAlign w:val="center"/>
          </w:tcPr>
          <w:p>
            <w:r/>
            <w:r>
              <w:rPr>
                <w:rFonts w:ascii="Aptos" w:hAnsi="Aptos"/>
                <w:b w:val="0"/>
                <w:sz w:val="17"/>
              </w:rPr>
              <w:t>1,655</w:t>
            </w:r>
          </w:p>
        </w:tc>
        <w:tc>
          <w:tcPr>
            <w:tcW w:type="dxa" w:w="2160"/>
            <w:vAlign w:val="center"/>
          </w:tcPr>
          <w:p>
            <w:r/>
            <w:r>
              <w:rPr>
                <w:rFonts w:ascii="Aptos" w:hAnsi="Aptos"/>
                <w:b w:val="0"/>
                <w:sz w:val="17"/>
              </w:rPr>
              <w:t>45.84%</w:t>
            </w:r>
          </w:p>
        </w:tc>
      </w:tr>
      <w:tr>
        <w:tc>
          <w:tcPr>
            <w:tcW w:type="dxa" w:w="2880"/>
            <w:vAlign w:val="center"/>
            <w:shd w:fill="F4F7F9"/>
          </w:tcPr>
          <w:p>
            <w:r/>
            <w:r>
              <w:rPr>
                <w:rFonts w:ascii="Aptos" w:hAnsi="Aptos"/>
                <w:b w:val="0"/>
                <w:sz w:val="17"/>
              </w:rPr>
              <w:t>One Year</w:t>
            </w:r>
          </w:p>
        </w:tc>
        <w:tc>
          <w:tcPr>
            <w:tcW w:type="dxa" w:w="2160"/>
            <w:vAlign w:val="center"/>
            <w:shd w:fill="F4F7F9"/>
          </w:tcPr>
          <w:p>
            <w:r/>
            <w:r>
              <w:rPr>
                <w:rFonts w:ascii="Aptos" w:hAnsi="Aptos"/>
                <w:b w:val="0"/>
                <w:sz w:val="17"/>
              </w:rPr>
              <w:t>1,550</w:t>
            </w:r>
          </w:p>
        </w:tc>
        <w:tc>
          <w:tcPr>
            <w:tcW w:type="dxa" w:w="2160"/>
            <w:vAlign w:val="center"/>
            <w:shd w:fill="F4F7F9"/>
          </w:tcPr>
          <w:p>
            <w:r/>
            <w:r>
              <w:rPr>
                <w:rFonts w:ascii="Aptos" w:hAnsi="Aptos"/>
                <w:b w:val="0"/>
                <w:sz w:val="17"/>
              </w:rPr>
              <w:t>166</w:t>
            </w:r>
          </w:p>
        </w:tc>
        <w:tc>
          <w:tcPr>
            <w:tcW w:type="dxa" w:w="2160"/>
            <w:vAlign w:val="center"/>
            <w:shd w:fill="F4F7F9"/>
          </w:tcPr>
          <w:p>
            <w:r/>
            <w:r>
              <w:rPr>
                <w:rFonts w:ascii="Aptos" w:hAnsi="Aptos"/>
                <w:b w:val="0"/>
                <w:sz w:val="17"/>
              </w:rPr>
              <w:t>10.71%</w:t>
            </w:r>
          </w:p>
        </w:tc>
      </w:tr>
      <w:tr>
        <w:tc>
          <w:tcPr>
            <w:tcW w:type="dxa" w:w="2880"/>
            <w:vAlign w:val="center"/>
          </w:tcPr>
          <w:p>
            <w:r/>
            <w:r>
              <w:rPr>
                <w:rFonts w:ascii="Aptos" w:hAnsi="Aptos"/>
                <w:b w:val="0"/>
                <w:sz w:val="17"/>
              </w:rPr>
              <w:t>Two Year</w:t>
            </w:r>
          </w:p>
        </w:tc>
        <w:tc>
          <w:tcPr>
            <w:tcW w:type="dxa" w:w="2160"/>
            <w:vAlign w:val="center"/>
          </w:tcPr>
          <w:p>
            <w:r/>
            <w:r>
              <w:rPr>
                <w:rFonts w:ascii="Aptos" w:hAnsi="Aptos"/>
                <w:b w:val="0"/>
                <w:sz w:val="17"/>
              </w:rPr>
              <w:t>1,883</w:t>
            </w:r>
          </w:p>
        </w:tc>
        <w:tc>
          <w:tcPr>
            <w:tcW w:type="dxa" w:w="2160"/>
            <w:vAlign w:val="center"/>
          </w:tcPr>
          <w:p>
            <w:r/>
            <w:r>
              <w:rPr>
                <w:rFonts w:ascii="Aptos" w:hAnsi="Aptos"/>
                <w:b w:val="0"/>
                <w:sz w:val="17"/>
              </w:rPr>
              <w:t>48</w:t>
            </w:r>
          </w:p>
        </w:tc>
        <w:tc>
          <w:tcPr>
            <w:tcW w:type="dxa" w:w="2160"/>
            <w:vAlign w:val="center"/>
          </w:tcPr>
          <w:p>
            <w:r/>
            <w:r>
              <w:rPr>
                <w:rFonts w:ascii="Aptos" w:hAnsi="Aptos"/>
                <w:b w:val="0"/>
                <w:sz w:val="17"/>
              </w:rPr>
              <w:t>2.55%</w:t>
            </w:r>
          </w:p>
        </w:tc>
      </w:tr>
    </w:tbl>
    <w:p>
      <w:pPr>
        <w:spacing w:after="20"/>
      </w:pPr>
    </w:p>
    <w:p>
      <w:pPr>
        <w:keepNext/>
        <w:jc w:val="center"/>
      </w:pPr>
      <w:r>
        <w:drawing>
          <wp:inline xmlns:a="http://schemas.openxmlformats.org/drawingml/2006/main" xmlns:pic="http://schemas.openxmlformats.org/drawingml/2006/picture">
            <wp:extent cx="5394960" cy="2562606"/>
            <wp:docPr id="3" name="Picture 3"/>
            <wp:cNvGraphicFramePr>
              <a:graphicFrameLocks noChangeAspect="1"/>
            </wp:cNvGraphicFramePr>
            <a:graphic>
              <a:graphicData uri="http://schemas.openxmlformats.org/drawingml/2006/picture">
                <pic:pic>
                  <pic:nvPicPr>
                    <pic:cNvPr id="0" name="chart_churn_by_contract.png"/>
                    <pic:cNvPicPr/>
                  </pic:nvPicPr>
                  <pic:blipFill>
                    <a:blip r:embed="rId12"/>
                    <a:stretch>
                      <a:fillRect/>
                    </a:stretch>
                  </pic:blipFill>
                  <pic:spPr>
                    <a:xfrm>
                      <a:off x="0" y="0"/>
                      <a:ext cx="5394960" cy="2562606"/>
                    </a:xfrm>
                    <a:prstGeom prst="rect"/>
                  </pic:spPr>
                </pic:pic>
              </a:graphicData>
            </a:graphic>
          </wp:inline>
        </w:drawing>
      </w:r>
    </w:p>
    <w:p>
      <w:pPr>
        <w:pStyle w:val="FigureCaption"/>
        <w:jc w:val="center"/>
      </w:pPr>
      <w:r>
        <w:t>Figure 3. Churn rate by contract type.</w:t>
      </w:r>
    </w:p>
    <w:p>
      <w:pPr>
        <w:pStyle w:val="Heading2"/>
      </w:pPr>
      <w:r>
        <w:t>Churn by tenure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center"/>
            <w:shd w:fill="15324B"/>
          </w:tcPr>
          <w:p>
            <w:r/>
            <w:r>
              <w:rPr>
                <w:rFonts w:ascii="Aptos" w:hAnsi="Aptos"/>
                <w:b/>
                <w:color w:val="FFFFFF"/>
                <w:sz w:val="17"/>
              </w:rPr>
              <w:t>Tenure</w:t>
            </w:r>
          </w:p>
        </w:tc>
        <w:tc>
          <w:tcPr>
            <w:tcW w:type="dxa" w:w="2160"/>
            <w:vAlign w:val="center"/>
            <w:shd w:fill="15324B"/>
          </w:tcPr>
          <w:p>
            <w:r/>
            <w:r>
              <w:rPr>
                <w:rFonts w:ascii="Aptos" w:hAnsi="Aptos"/>
                <w:b/>
                <w:color w:val="FFFFFF"/>
                <w:sz w:val="17"/>
              </w:rPr>
              <w:t>Customers</w:t>
            </w:r>
          </w:p>
        </w:tc>
        <w:tc>
          <w:tcPr>
            <w:tcW w:type="dxa" w:w="2160"/>
            <w:vAlign w:val="center"/>
            <w:shd w:fill="15324B"/>
          </w:tcPr>
          <w:p>
            <w:r/>
            <w:r>
              <w:rPr>
                <w:rFonts w:ascii="Aptos" w:hAnsi="Aptos"/>
                <w:b/>
                <w:color w:val="FFFFFF"/>
                <w:sz w:val="17"/>
              </w:rPr>
              <w:t>Churned</w:t>
            </w:r>
          </w:p>
        </w:tc>
        <w:tc>
          <w:tcPr>
            <w:tcW w:type="dxa" w:w="2160"/>
            <w:vAlign w:val="center"/>
            <w:shd w:fill="15324B"/>
          </w:tcPr>
          <w:p>
            <w:r/>
            <w:r>
              <w:rPr>
                <w:rFonts w:ascii="Aptos" w:hAnsi="Aptos"/>
                <w:b/>
                <w:color w:val="FFFFFF"/>
                <w:sz w:val="17"/>
              </w:rPr>
              <w:t>Churn rate</w:t>
            </w:r>
          </w:p>
        </w:tc>
      </w:tr>
      <w:tr>
        <w:tc>
          <w:tcPr>
            <w:tcW w:type="dxa" w:w="2880"/>
            <w:vAlign w:val="center"/>
          </w:tcPr>
          <w:p>
            <w:r/>
            <w:r>
              <w:rPr>
                <w:rFonts w:ascii="Aptos" w:hAnsi="Aptos"/>
                <w:b w:val="0"/>
                <w:sz w:val="17"/>
              </w:rPr>
              <w:t>0-12 months</w:t>
            </w:r>
          </w:p>
        </w:tc>
        <w:tc>
          <w:tcPr>
            <w:tcW w:type="dxa" w:w="2160"/>
            <w:vAlign w:val="center"/>
          </w:tcPr>
          <w:p>
            <w:r/>
            <w:r>
              <w:rPr>
                <w:rFonts w:ascii="Aptos" w:hAnsi="Aptos"/>
                <w:b w:val="0"/>
                <w:sz w:val="17"/>
              </w:rPr>
              <w:t>1,732</w:t>
            </w:r>
          </w:p>
        </w:tc>
        <w:tc>
          <w:tcPr>
            <w:tcW w:type="dxa" w:w="2160"/>
            <w:vAlign w:val="center"/>
          </w:tcPr>
          <w:p>
            <w:r/>
            <w:r>
              <w:rPr>
                <w:rFonts w:ascii="Aptos" w:hAnsi="Aptos"/>
                <w:b w:val="0"/>
                <w:sz w:val="17"/>
              </w:rPr>
              <w:t>1,037</w:t>
            </w:r>
          </w:p>
        </w:tc>
        <w:tc>
          <w:tcPr>
            <w:tcW w:type="dxa" w:w="2160"/>
            <w:vAlign w:val="center"/>
          </w:tcPr>
          <w:p>
            <w:r/>
            <w:r>
              <w:rPr>
                <w:rFonts w:ascii="Aptos" w:hAnsi="Aptos"/>
                <w:b w:val="0"/>
                <w:sz w:val="17"/>
              </w:rPr>
              <w:t>59.87%</w:t>
            </w:r>
          </w:p>
        </w:tc>
      </w:tr>
      <w:tr>
        <w:tc>
          <w:tcPr>
            <w:tcW w:type="dxa" w:w="2880"/>
            <w:vAlign w:val="center"/>
            <w:shd w:fill="F4F7F9"/>
          </w:tcPr>
          <w:p>
            <w:r/>
            <w:r>
              <w:rPr>
                <w:rFonts w:ascii="Aptos" w:hAnsi="Aptos"/>
                <w:b w:val="0"/>
                <w:sz w:val="17"/>
              </w:rPr>
              <w:t>13-24 months</w:t>
            </w:r>
          </w:p>
        </w:tc>
        <w:tc>
          <w:tcPr>
            <w:tcW w:type="dxa" w:w="2160"/>
            <w:vAlign w:val="center"/>
            <w:shd w:fill="F4F7F9"/>
          </w:tcPr>
          <w:p>
            <w:r/>
            <w:r>
              <w:rPr>
                <w:rFonts w:ascii="Aptos" w:hAnsi="Aptos"/>
                <w:b w:val="0"/>
                <w:sz w:val="17"/>
              </w:rPr>
              <w:t>1,024</w:t>
            </w:r>
          </w:p>
        </w:tc>
        <w:tc>
          <w:tcPr>
            <w:tcW w:type="dxa" w:w="2160"/>
            <w:vAlign w:val="center"/>
            <w:shd w:fill="F4F7F9"/>
          </w:tcPr>
          <w:p>
            <w:r/>
            <w:r>
              <w:rPr>
                <w:rFonts w:ascii="Aptos" w:hAnsi="Aptos"/>
                <w:b w:val="0"/>
                <w:sz w:val="17"/>
              </w:rPr>
              <w:t>294</w:t>
            </w:r>
          </w:p>
        </w:tc>
        <w:tc>
          <w:tcPr>
            <w:tcW w:type="dxa" w:w="2160"/>
            <w:vAlign w:val="center"/>
            <w:shd w:fill="F4F7F9"/>
          </w:tcPr>
          <w:p>
            <w:r/>
            <w:r>
              <w:rPr>
                <w:rFonts w:ascii="Aptos" w:hAnsi="Aptos"/>
                <w:b w:val="0"/>
                <w:sz w:val="17"/>
              </w:rPr>
              <w:t>28.71%</w:t>
            </w:r>
          </w:p>
        </w:tc>
      </w:tr>
      <w:tr>
        <w:tc>
          <w:tcPr>
            <w:tcW w:type="dxa" w:w="2880"/>
            <w:vAlign w:val="center"/>
          </w:tcPr>
          <w:p>
            <w:r/>
            <w:r>
              <w:rPr>
                <w:rFonts w:ascii="Aptos" w:hAnsi="Aptos"/>
                <w:b w:val="0"/>
                <w:sz w:val="17"/>
              </w:rPr>
              <w:t>25-48 months</w:t>
            </w:r>
          </w:p>
        </w:tc>
        <w:tc>
          <w:tcPr>
            <w:tcW w:type="dxa" w:w="2160"/>
            <w:vAlign w:val="center"/>
          </w:tcPr>
          <w:p>
            <w:r/>
            <w:r>
              <w:rPr>
                <w:rFonts w:ascii="Aptos" w:hAnsi="Aptos"/>
                <w:b w:val="0"/>
                <w:sz w:val="17"/>
              </w:rPr>
              <w:t>1,594</w:t>
            </w:r>
          </w:p>
        </w:tc>
        <w:tc>
          <w:tcPr>
            <w:tcW w:type="dxa" w:w="2160"/>
            <w:vAlign w:val="center"/>
          </w:tcPr>
          <w:p>
            <w:r/>
            <w:r>
              <w:rPr>
                <w:rFonts w:ascii="Aptos" w:hAnsi="Aptos"/>
                <w:b w:val="0"/>
                <w:sz w:val="17"/>
              </w:rPr>
              <w:t>325</w:t>
            </w:r>
          </w:p>
        </w:tc>
        <w:tc>
          <w:tcPr>
            <w:tcW w:type="dxa" w:w="2160"/>
            <w:vAlign w:val="center"/>
          </w:tcPr>
          <w:p>
            <w:r/>
            <w:r>
              <w:rPr>
                <w:rFonts w:ascii="Aptos" w:hAnsi="Aptos"/>
                <w:b w:val="0"/>
                <w:sz w:val="17"/>
              </w:rPr>
              <w:t>20.39%</w:t>
            </w:r>
          </w:p>
        </w:tc>
      </w:tr>
      <w:tr>
        <w:tc>
          <w:tcPr>
            <w:tcW w:type="dxa" w:w="2880"/>
            <w:vAlign w:val="center"/>
            <w:shd w:fill="F4F7F9"/>
          </w:tcPr>
          <w:p>
            <w:r/>
            <w:r>
              <w:rPr>
                <w:rFonts w:ascii="Aptos" w:hAnsi="Aptos"/>
                <w:b w:val="0"/>
                <w:sz w:val="17"/>
              </w:rPr>
              <w:t>49+ months</w:t>
            </w:r>
          </w:p>
        </w:tc>
        <w:tc>
          <w:tcPr>
            <w:tcW w:type="dxa" w:w="2160"/>
            <w:vAlign w:val="center"/>
            <w:shd w:fill="F4F7F9"/>
          </w:tcPr>
          <w:p>
            <w:r/>
            <w:r>
              <w:rPr>
                <w:rFonts w:ascii="Aptos" w:hAnsi="Aptos"/>
                <w:b w:val="0"/>
                <w:sz w:val="17"/>
              </w:rPr>
              <w:t>2,239</w:t>
            </w:r>
          </w:p>
        </w:tc>
        <w:tc>
          <w:tcPr>
            <w:tcW w:type="dxa" w:w="2160"/>
            <w:vAlign w:val="center"/>
            <w:shd w:fill="F4F7F9"/>
          </w:tcPr>
          <w:p>
            <w:r/>
            <w:r>
              <w:rPr>
                <w:rFonts w:ascii="Aptos" w:hAnsi="Aptos"/>
                <w:b w:val="0"/>
                <w:sz w:val="17"/>
              </w:rPr>
              <w:t>213</w:t>
            </w:r>
          </w:p>
        </w:tc>
        <w:tc>
          <w:tcPr>
            <w:tcW w:type="dxa" w:w="2160"/>
            <w:vAlign w:val="center"/>
            <w:shd w:fill="F4F7F9"/>
          </w:tcPr>
          <w:p>
            <w:r/>
            <w:r>
              <w:rPr>
                <w:rFonts w:ascii="Aptos" w:hAnsi="Aptos"/>
                <w:b w:val="0"/>
                <w:sz w:val="17"/>
              </w:rPr>
              <w:t>9.51%</w:t>
            </w:r>
          </w:p>
        </w:tc>
      </w:tr>
    </w:tbl>
    <w:p>
      <w:pPr>
        <w:spacing w:after="20"/>
      </w:pPr>
    </w:p>
    <w:p>
      <w:pPr>
        <w:keepNext/>
        <w:jc w:val="center"/>
      </w:pPr>
      <w:r>
        <w:drawing>
          <wp:inline xmlns:a="http://schemas.openxmlformats.org/drawingml/2006/main" xmlns:pic="http://schemas.openxmlformats.org/drawingml/2006/picture">
            <wp:extent cx="5394960" cy="3506724"/>
            <wp:docPr id="4" name="Picture 4"/>
            <wp:cNvGraphicFramePr>
              <a:graphicFrameLocks noChangeAspect="1"/>
            </wp:cNvGraphicFramePr>
            <a:graphic>
              <a:graphicData uri="http://schemas.openxmlformats.org/drawingml/2006/picture">
                <pic:pic>
                  <pic:nvPicPr>
                    <pic:cNvPr id="0" name="chart_churn_by_tenure.png"/>
                    <pic:cNvPicPr/>
                  </pic:nvPicPr>
                  <pic:blipFill>
                    <a:blip r:embed="rId13"/>
                    <a:stretch>
                      <a:fillRect/>
                    </a:stretch>
                  </pic:blipFill>
                  <pic:spPr>
                    <a:xfrm>
                      <a:off x="0" y="0"/>
                      <a:ext cx="5394960" cy="3506724"/>
                    </a:xfrm>
                    <a:prstGeom prst="rect"/>
                  </pic:spPr>
                </pic:pic>
              </a:graphicData>
            </a:graphic>
          </wp:inline>
        </w:drawing>
      </w:r>
    </w:p>
    <w:p>
      <w:pPr>
        <w:pStyle w:val="FigureCaption"/>
        <w:jc w:val="center"/>
      </w:pPr>
      <w:r>
        <w:t>Figure 4. Churn rate by customer tenure.</w:t>
      </w:r>
    </w:p>
    <w:p>
      <w:pPr>
        <w:pStyle w:val="Heading2"/>
      </w:pPr>
      <w:r>
        <w:t>Payment method and internet type</w:t>
      </w:r>
    </w:p>
    <w:tbl>
      <w:tblPr>
        <w:tblStyle w:val="TableGrid"/>
        <w:tblW w:type="auto" w:w="0"/>
        <w:jc w:val="center"/>
        <w:tblLook w:firstColumn="1" w:firstRow="1" w:lastColumn="0" w:lastRow="0" w:noHBand="0" w:noVBand="1" w:val="04A0"/>
      </w:tblPr>
      <w:tblGrid>
        <w:gridCol w:w="5040"/>
        <w:gridCol w:w="5040"/>
      </w:tblGrid>
      <w:tr>
        <w:tc>
          <w:tcPr>
            <w:tcW w:type="dxa" w:w="6192"/>
            <w:vAlign w:val="center"/>
            <w:shd w:fill="15324B"/>
          </w:tcPr>
          <w:p>
            <w:r/>
            <w:r>
              <w:rPr>
                <w:rFonts w:ascii="Aptos" w:hAnsi="Aptos"/>
                <w:b/>
                <w:color w:val="FFFFFF"/>
                <w:sz w:val="17"/>
              </w:rPr>
              <w:t>Segment</w:t>
            </w:r>
          </w:p>
        </w:tc>
        <w:tc>
          <w:tcPr>
            <w:tcW w:type="dxa" w:w="2880"/>
            <w:vAlign w:val="center"/>
            <w:shd w:fill="15324B"/>
          </w:tcPr>
          <w:p>
            <w:r/>
            <w:r>
              <w:rPr>
                <w:rFonts w:ascii="Aptos" w:hAnsi="Aptos"/>
                <w:b/>
                <w:color w:val="FFFFFF"/>
                <w:sz w:val="17"/>
              </w:rPr>
              <w:t>Churn rate</w:t>
            </w:r>
          </w:p>
        </w:tc>
      </w:tr>
      <w:tr>
        <w:tc>
          <w:tcPr>
            <w:tcW w:type="dxa" w:w="6192"/>
            <w:vAlign w:val="center"/>
          </w:tcPr>
          <w:p>
            <w:r/>
            <w:r>
              <w:rPr>
                <w:rFonts w:ascii="Aptos" w:hAnsi="Aptos"/>
                <w:b w:val="0"/>
                <w:sz w:val="17"/>
              </w:rPr>
              <w:t>Mailed Check</w:t>
            </w:r>
          </w:p>
        </w:tc>
        <w:tc>
          <w:tcPr>
            <w:tcW w:type="dxa" w:w="2880"/>
            <w:vAlign w:val="center"/>
          </w:tcPr>
          <w:p>
            <w:r/>
            <w:r>
              <w:rPr>
                <w:rFonts w:ascii="Aptos" w:hAnsi="Aptos"/>
                <w:b w:val="0"/>
                <w:sz w:val="17"/>
              </w:rPr>
              <w:t>36.88%</w:t>
            </w:r>
          </w:p>
        </w:tc>
      </w:tr>
      <w:tr>
        <w:tc>
          <w:tcPr>
            <w:tcW w:type="dxa" w:w="6192"/>
            <w:vAlign w:val="center"/>
            <w:shd w:fill="F4F7F9"/>
          </w:tcPr>
          <w:p>
            <w:r/>
            <w:r>
              <w:rPr>
                <w:rFonts w:ascii="Aptos" w:hAnsi="Aptos"/>
                <w:b w:val="0"/>
                <w:sz w:val="17"/>
              </w:rPr>
              <w:t>Bank Withdrawal</w:t>
            </w:r>
          </w:p>
        </w:tc>
        <w:tc>
          <w:tcPr>
            <w:tcW w:type="dxa" w:w="2880"/>
            <w:vAlign w:val="center"/>
            <w:shd w:fill="F4F7F9"/>
          </w:tcPr>
          <w:p>
            <w:r/>
            <w:r>
              <w:rPr>
                <w:rFonts w:ascii="Aptos" w:hAnsi="Aptos"/>
                <w:b w:val="0"/>
                <w:sz w:val="17"/>
              </w:rPr>
              <w:t>34.00%</w:t>
            </w:r>
          </w:p>
        </w:tc>
      </w:tr>
      <w:tr>
        <w:tc>
          <w:tcPr>
            <w:tcW w:type="dxa" w:w="6192"/>
            <w:vAlign w:val="center"/>
          </w:tcPr>
          <w:p>
            <w:r/>
            <w:r>
              <w:rPr>
                <w:rFonts w:ascii="Aptos" w:hAnsi="Aptos"/>
                <w:b w:val="0"/>
                <w:sz w:val="17"/>
              </w:rPr>
              <w:t>Credit Card</w:t>
            </w:r>
          </w:p>
        </w:tc>
        <w:tc>
          <w:tcPr>
            <w:tcW w:type="dxa" w:w="2880"/>
            <w:vAlign w:val="center"/>
          </w:tcPr>
          <w:p>
            <w:r/>
            <w:r>
              <w:rPr>
                <w:rFonts w:ascii="Aptos" w:hAnsi="Aptos"/>
                <w:b w:val="0"/>
                <w:sz w:val="17"/>
              </w:rPr>
              <w:t>14.48%</w:t>
            </w:r>
          </w:p>
        </w:tc>
      </w:tr>
      <w:tr>
        <w:tc>
          <w:tcPr>
            <w:tcW w:type="dxa" w:w="6192"/>
            <w:vAlign w:val="center"/>
            <w:shd w:fill="F4F7F9"/>
          </w:tcPr>
          <w:p>
            <w:r/>
            <w:r>
              <w:rPr>
                <w:rFonts w:ascii="Aptos" w:hAnsi="Aptos"/>
                <w:b w:val="0"/>
                <w:sz w:val="17"/>
              </w:rPr>
              <w:t>Fiber Optic</w:t>
            </w:r>
          </w:p>
        </w:tc>
        <w:tc>
          <w:tcPr>
            <w:tcW w:type="dxa" w:w="2880"/>
            <w:vAlign w:val="center"/>
            <w:shd w:fill="F4F7F9"/>
          </w:tcPr>
          <w:p>
            <w:r/>
            <w:r>
              <w:rPr>
                <w:rFonts w:ascii="Aptos" w:hAnsi="Aptos"/>
                <w:b w:val="0"/>
                <w:sz w:val="17"/>
              </w:rPr>
              <w:t>40.72%</w:t>
            </w:r>
          </w:p>
        </w:tc>
      </w:tr>
      <w:tr>
        <w:tc>
          <w:tcPr>
            <w:tcW w:type="dxa" w:w="6192"/>
            <w:vAlign w:val="center"/>
          </w:tcPr>
          <w:p>
            <w:r/>
            <w:r>
              <w:rPr>
                <w:rFonts w:ascii="Aptos" w:hAnsi="Aptos"/>
                <w:b w:val="0"/>
                <w:sz w:val="17"/>
              </w:rPr>
              <w:t>Cable</w:t>
            </w:r>
          </w:p>
        </w:tc>
        <w:tc>
          <w:tcPr>
            <w:tcW w:type="dxa" w:w="2880"/>
            <w:vAlign w:val="center"/>
          </w:tcPr>
          <w:p>
            <w:r/>
            <w:r>
              <w:rPr>
                <w:rFonts w:ascii="Aptos" w:hAnsi="Aptos"/>
                <w:b w:val="0"/>
                <w:sz w:val="17"/>
              </w:rPr>
              <w:t>25.66%</w:t>
            </w:r>
          </w:p>
        </w:tc>
      </w:tr>
      <w:tr>
        <w:tc>
          <w:tcPr>
            <w:tcW w:type="dxa" w:w="6192"/>
            <w:vAlign w:val="center"/>
            <w:shd w:fill="F4F7F9"/>
          </w:tcPr>
          <w:p>
            <w:r/>
            <w:r>
              <w:rPr>
                <w:rFonts w:ascii="Aptos" w:hAnsi="Aptos"/>
                <w:b w:val="0"/>
                <w:sz w:val="17"/>
              </w:rPr>
              <w:t>DSL</w:t>
            </w:r>
          </w:p>
        </w:tc>
        <w:tc>
          <w:tcPr>
            <w:tcW w:type="dxa" w:w="2880"/>
            <w:vAlign w:val="center"/>
            <w:shd w:fill="F4F7F9"/>
          </w:tcPr>
          <w:p>
            <w:r/>
            <w:r>
              <w:rPr>
                <w:rFonts w:ascii="Aptos" w:hAnsi="Aptos"/>
                <w:b w:val="0"/>
                <w:sz w:val="17"/>
              </w:rPr>
              <w:t>18.58%</w:t>
            </w:r>
          </w:p>
        </w:tc>
      </w:tr>
      <w:tr>
        <w:tc>
          <w:tcPr>
            <w:tcW w:type="dxa" w:w="6192"/>
            <w:vAlign w:val="center"/>
          </w:tcPr>
          <w:p>
            <w:r/>
            <w:r>
              <w:rPr>
                <w:rFonts w:ascii="Aptos" w:hAnsi="Aptos"/>
                <w:b w:val="0"/>
                <w:sz w:val="17"/>
              </w:rPr>
              <w:t>No Internet</w:t>
            </w:r>
          </w:p>
        </w:tc>
        <w:tc>
          <w:tcPr>
            <w:tcW w:type="dxa" w:w="2880"/>
            <w:vAlign w:val="center"/>
          </w:tcPr>
          <w:p>
            <w:r/>
            <w:r>
              <w:rPr>
                <w:rFonts w:ascii="Aptos" w:hAnsi="Aptos"/>
                <w:b w:val="0"/>
                <w:sz w:val="17"/>
              </w:rPr>
              <w:t>7.40%</w:t>
            </w:r>
          </w:p>
        </w:tc>
      </w:tr>
    </w:tbl>
    <w:p>
      <w:pPr>
        <w:spacing w:after="20"/>
      </w:pPr>
    </w:p>
    <w:p>
      <w:pPr>
        <w:pStyle w:val="Heading2"/>
      </w:pPr>
      <w:r>
        <w:t>Churn reasons</w:t>
      </w:r>
    </w:p>
    <w:p>
      <w:r>
        <w:t>Competitor-related reasons accounted for 841 customers, or 45.00% of churn. The leading specific reasons were better devices from a competitor (313), a better competitor offer (311), attitude of a support person (220), an unknown reason (130), and more data from a competitor (117).</w:t>
      </w:r>
    </w:p>
    <w:p>
      <w:pPr>
        <w:pStyle w:val="Heading2"/>
      </w:pPr>
      <w:r>
        <w:t>Service add-ons</w:t>
      </w:r>
    </w:p>
    <w:p>
      <w:r>
        <w:t>Among internet customers, churn decreased as adoption increased across online security, online backup, device protection, and premium technical support. The pattern is descriptive and may also reflect tenure, contract, or customer-need differences.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center"/>
            <w:shd w:fill="15324B"/>
          </w:tcPr>
          <w:p>
            <w:r/>
            <w:r>
              <w:rPr>
                <w:rFonts w:ascii="Aptos" w:hAnsi="Aptos"/>
                <w:b/>
                <w:color w:val="FFFFFF"/>
                <w:sz w:val="17"/>
              </w:rPr>
              <w:t>Measured add-ons</w:t>
            </w:r>
          </w:p>
        </w:tc>
        <w:tc>
          <w:tcPr>
            <w:tcW w:type="dxa" w:w="2160"/>
            <w:vAlign w:val="center"/>
            <w:shd w:fill="15324B"/>
          </w:tcPr>
          <w:p>
            <w:r/>
            <w:r>
              <w:rPr>
                <w:rFonts w:ascii="Aptos" w:hAnsi="Aptos"/>
                <w:b/>
                <w:color w:val="FFFFFF"/>
                <w:sz w:val="17"/>
              </w:rPr>
              <w:t>Customers</w:t>
            </w:r>
          </w:p>
        </w:tc>
        <w:tc>
          <w:tcPr>
            <w:tcW w:type="dxa" w:w="2160"/>
            <w:vAlign w:val="center"/>
            <w:shd w:fill="15324B"/>
          </w:tcPr>
          <w:p>
            <w:r/>
            <w:r>
              <w:rPr>
                <w:rFonts w:ascii="Aptos" w:hAnsi="Aptos"/>
                <w:b/>
                <w:color w:val="FFFFFF"/>
                <w:sz w:val="17"/>
              </w:rPr>
              <w:t>Churned</w:t>
            </w:r>
          </w:p>
        </w:tc>
        <w:tc>
          <w:tcPr>
            <w:tcW w:type="dxa" w:w="2160"/>
            <w:vAlign w:val="center"/>
            <w:shd w:fill="15324B"/>
          </w:tcPr>
          <w:p>
            <w:r/>
            <w:r>
              <w:rPr>
                <w:rFonts w:ascii="Aptos" w:hAnsi="Aptos"/>
                <w:b/>
                <w:color w:val="FFFFFF"/>
                <w:sz w:val="17"/>
              </w:rPr>
              <w:t>Churn rate</w:t>
            </w:r>
          </w:p>
        </w:tc>
      </w:tr>
      <w:tr>
        <w:tc>
          <w:tcPr>
            <w:tcW w:type="dxa" w:w="2880"/>
            <w:vAlign w:val="center"/>
          </w:tcPr>
          <w:p>
            <w:r/>
            <w:r>
              <w:rPr>
                <w:rFonts w:ascii="Aptos" w:hAnsi="Aptos"/>
                <w:b w:val="0"/>
                <w:sz w:val="17"/>
              </w:rPr>
              <w:t>0</w:t>
            </w:r>
          </w:p>
        </w:tc>
        <w:tc>
          <w:tcPr>
            <w:tcW w:type="dxa" w:w="2160"/>
            <w:vAlign w:val="center"/>
          </w:tcPr>
          <w:p>
            <w:r/>
            <w:r>
              <w:rPr>
                <w:rFonts w:ascii="Aptos" w:hAnsi="Aptos"/>
                <w:b w:val="0"/>
                <w:sz w:val="17"/>
              </w:rPr>
              <w:t>1,130</w:t>
            </w:r>
          </w:p>
        </w:tc>
        <w:tc>
          <w:tcPr>
            <w:tcW w:type="dxa" w:w="2160"/>
            <w:vAlign w:val="center"/>
          </w:tcPr>
          <w:p>
            <w:r/>
            <w:r>
              <w:rPr>
                <w:rFonts w:ascii="Aptos" w:hAnsi="Aptos"/>
                <w:b w:val="0"/>
                <w:sz w:val="17"/>
              </w:rPr>
              <w:t>718</w:t>
            </w:r>
          </w:p>
        </w:tc>
        <w:tc>
          <w:tcPr>
            <w:tcW w:type="dxa" w:w="2160"/>
            <w:vAlign w:val="center"/>
          </w:tcPr>
          <w:p>
            <w:r/>
            <w:r>
              <w:rPr>
                <w:rFonts w:ascii="Aptos" w:hAnsi="Aptos"/>
                <w:b w:val="0"/>
                <w:sz w:val="17"/>
              </w:rPr>
              <w:t>63.54%</w:t>
            </w:r>
          </w:p>
        </w:tc>
      </w:tr>
      <w:tr>
        <w:tc>
          <w:tcPr>
            <w:tcW w:type="dxa" w:w="2880"/>
            <w:vAlign w:val="center"/>
            <w:shd w:fill="F4F7F9"/>
          </w:tcPr>
          <w:p>
            <w:r/>
            <w:r>
              <w:rPr>
                <w:rFonts w:ascii="Aptos" w:hAnsi="Aptos"/>
                <w:b w:val="0"/>
                <w:sz w:val="17"/>
              </w:rPr>
              <w:t>1</w:t>
            </w:r>
          </w:p>
        </w:tc>
        <w:tc>
          <w:tcPr>
            <w:tcW w:type="dxa" w:w="2160"/>
            <w:vAlign w:val="center"/>
            <w:shd w:fill="F4F7F9"/>
          </w:tcPr>
          <w:p>
            <w:r/>
            <w:r>
              <w:rPr>
                <w:rFonts w:ascii="Aptos" w:hAnsi="Aptos"/>
                <w:b w:val="0"/>
                <w:sz w:val="17"/>
              </w:rPr>
              <w:t>1,370</w:t>
            </w:r>
          </w:p>
        </w:tc>
        <w:tc>
          <w:tcPr>
            <w:tcW w:type="dxa" w:w="2160"/>
            <w:vAlign w:val="center"/>
            <w:shd w:fill="F4F7F9"/>
          </w:tcPr>
          <w:p>
            <w:r/>
            <w:r>
              <w:rPr>
                <w:rFonts w:ascii="Aptos" w:hAnsi="Aptos"/>
                <w:b w:val="0"/>
                <w:sz w:val="17"/>
              </w:rPr>
              <w:t>570</w:t>
            </w:r>
          </w:p>
        </w:tc>
        <w:tc>
          <w:tcPr>
            <w:tcW w:type="dxa" w:w="2160"/>
            <w:vAlign w:val="center"/>
            <w:shd w:fill="F4F7F9"/>
          </w:tcPr>
          <w:p>
            <w:r/>
            <w:r>
              <w:rPr>
                <w:rFonts w:ascii="Aptos" w:hAnsi="Aptos"/>
                <w:b w:val="0"/>
                <w:sz w:val="17"/>
              </w:rPr>
              <w:t>41.61%</w:t>
            </w:r>
          </w:p>
        </w:tc>
      </w:tr>
      <w:tr>
        <w:tc>
          <w:tcPr>
            <w:tcW w:type="dxa" w:w="2880"/>
            <w:vAlign w:val="center"/>
          </w:tcPr>
          <w:p>
            <w:r/>
            <w:r>
              <w:rPr>
                <w:rFonts w:ascii="Aptos" w:hAnsi="Aptos"/>
                <w:b w:val="0"/>
                <w:sz w:val="17"/>
              </w:rPr>
              <w:t>2</w:t>
            </w:r>
          </w:p>
        </w:tc>
        <w:tc>
          <w:tcPr>
            <w:tcW w:type="dxa" w:w="2160"/>
            <w:vAlign w:val="center"/>
          </w:tcPr>
          <w:p>
            <w:r/>
            <w:r>
              <w:rPr>
                <w:rFonts w:ascii="Aptos" w:hAnsi="Aptos"/>
                <w:b w:val="0"/>
                <w:sz w:val="17"/>
              </w:rPr>
              <w:t>1,340</w:t>
            </w:r>
          </w:p>
        </w:tc>
        <w:tc>
          <w:tcPr>
            <w:tcW w:type="dxa" w:w="2160"/>
            <w:vAlign w:val="center"/>
          </w:tcPr>
          <w:p>
            <w:r/>
            <w:r>
              <w:rPr>
                <w:rFonts w:ascii="Aptos" w:hAnsi="Aptos"/>
                <w:b w:val="0"/>
                <w:sz w:val="17"/>
              </w:rPr>
              <w:t>326</w:t>
            </w:r>
          </w:p>
        </w:tc>
        <w:tc>
          <w:tcPr>
            <w:tcW w:type="dxa" w:w="2160"/>
            <w:vAlign w:val="center"/>
          </w:tcPr>
          <w:p>
            <w:r/>
            <w:r>
              <w:rPr>
                <w:rFonts w:ascii="Aptos" w:hAnsi="Aptos"/>
                <w:b w:val="0"/>
                <w:sz w:val="17"/>
              </w:rPr>
              <w:t>24.33%</w:t>
            </w:r>
          </w:p>
        </w:tc>
      </w:tr>
      <w:tr>
        <w:tc>
          <w:tcPr>
            <w:tcW w:type="dxa" w:w="2880"/>
            <w:vAlign w:val="center"/>
            <w:shd w:fill="F4F7F9"/>
          </w:tcPr>
          <w:p>
            <w:r/>
            <w:r>
              <w:rPr>
                <w:rFonts w:ascii="Aptos" w:hAnsi="Aptos"/>
                <w:b w:val="0"/>
                <w:sz w:val="17"/>
              </w:rPr>
              <w:t>3</w:t>
            </w:r>
          </w:p>
        </w:tc>
        <w:tc>
          <w:tcPr>
            <w:tcW w:type="dxa" w:w="2160"/>
            <w:vAlign w:val="center"/>
            <w:shd w:fill="F4F7F9"/>
          </w:tcPr>
          <w:p>
            <w:r/>
            <w:r>
              <w:rPr>
                <w:rFonts w:ascii="Aptos" w:hAnsi="Aptos"/>
                <w:b w:val="0"/>
                <w:sz w:val="17"/>
              </w:rPr>
              <w:t>935</w:t>
            </w:r>
          </w:p>
        </w:tc>
        <w:tc>
          <w:tcPr>
            <w:tcW w:type="dxa" w:w="2160"/>
            <w:vAlign w:val="center"/>
            <w:shd w:fill="F4F7F9"/>
          </w:tcPr>
          <w:p>
            <w:r/>
            <w:r>
              <w:rPr>
                <w:rFonts w:ascii="Aptos" w:hAnsi="Aptos"/>
                <w:b w:val="0"/>
                <w:sz w:val="17"/>
              </w:rPr>
              <w:t>117</w:t>
            </w:r>
          </w:p>
        </w:tc>
        <w:tc>
          <w:tcPr>
            <w:tcW w:type="dxa" w:w="2160"/>
            <w:vAlign w:val="center"/>
            <w:shd w:fill="F4F7F9"/>
          </w:tcPr>
          <w:p>
            <w:r/>
            <w:r>
              <w:rPr>
                <w:rFonts w:ascii="Aptos" w:hAnsi="Aptos"/>
                <w:b w:val="0"/>
                <w:sz w:val="17"/>
              </w:rPr>
              <w:t>12.51%</w:t>
            </w:r>
          </w:p>
        </w:tc>
      </w:tr>
      <w:tr>
        <w:tc>
          <w:tcPr>
            <w:tcW w:type="dxa" w:w="2880"/>
            <w:vAlign w:val="center"/>
          </w:tcPr>
          <w:p>
            <w:r/>
            <w:r>
              <w:rPr>
                <w:rFonts w:ascii="Aptos" w:hAnsi="Aptos"/>
                <w:b w:val="0"/>
                <w:sz w:val="17"/>
              </w:rPr>
              <w:t>4</w:t>
            </w:r>
          </w:p>
        </w:tc>
        <w:tc>
          <w:tcPr>
            <w:tcW w:type="dxa" w:w="2160"/>
            <w:vAlign w:val="center"/>
          </w:tcPr>
          <w:p>
            <w:r/>
            <w:r>
              <w:rPr>
                <w:rFonts w:ascii="Aptos" w:hAnsi="Aptos"/>
                <w:b w:val="0"/>
                <w:sz w:val="17"/>
              </w:rPr>
              <w:t>470</w:t>
            </w:r>
          </w:p>
        </w:tc>
        <w:tc>
          <w:tcPr>
            <w:tcW w:type="dxa" w:w="2160"/>
            <w:vAlign w:val="center"/>
          </w:tcPr>
          <w:p>
            <w:r/>
            <w:r>
              <w:rPr>
                <w:rFonts w:ascii="Aptos" w:hAnsi="Aptos"/>
                <w:b w:val="0"/>
                <w:sz w:val="17"/>
              </w:rPr>
              <w:t>25</w:t>
            </w:r>
          </w:p>
        </w:tc>
        <w:tc>
          <w:tcPr>
            <w:tcW w:type="dxa" w:w="2160"/>
            <w:vAlign w:val="center"/>
          </w:tcPr>
          <w:p>
            <w:r/>
            <w:r>
              <w:rPr>
                <w:rFonts w:ascii="Aptos" w:hAnsi="Aptos"/>
                <w:b w:val="0"/>
                <w:sz w:val="17"/>
              </w:rPr>
              <w:t>5.32%</w:t>
            </w:r>
          </w:p>
        </w:tc>
      </w:tr>
    </w:tbl>
    <w:p>
      <w:pPr>
        <w:spacing w:after="20"/>
      </w:pPr>
    </w:p>
    <w:p>
      <w:pPr>
        <w:keepNext/>
        <w:jc w:val="center"/>
      </w:pPr>
      <w:r>
        <w:drawing>
          <wp:inline xmlns:a="http://schemas.openxmlformats.org/drawingml/2006/main" xmlns:pic="http://schemas.openxmlformats.org/drawingml/2006/picture">
            <wp:extent cx="5394960" cy="3506724"/>
            <wp:docPr id="5" name="Picture 5"/>
            <wp:cNvGraphicFramePr>
              <a:graphicFrameLocks noChangeAspect="1"/>
            </wp:cNvGraphicFramePr>
            <a:graphic>
              <a:graphicData uri="http://schemas.openxmlformats.org/drawingml/2006/picture">
                <pic:pic>
                  <pic:nvPicPr>
                    <pic:cNvPr id="0" name="chart_churn_by_addons.png"/>
                    <pic:cNvPicPr/>
                  </pic:nvPicPr>
                  <pic:blipFill>
                    <a:blip r:embed="rId14"/>
                    <a:stretch>
                      <a:fillRect/>
                    </a:stretch>
                  </pic:blipFill>
                  <pic:spPr>
                    <a:xfrm>
                      <a:off x="0" y="0"/>
                      <a:ext cx="5394960" cy="3506724"/>
                    </a:xfrm>
                    <a:prstGeom prst="rect"/>
                  </pic:spPr>
                </pic:pic>
              </a:graphicData>
            </a:graphic>
          </wp:inline>
        </w:drawing>
      </w:r>
    </w:p>
    <w:p>
      <w:pPr>
        <w:pStyle w:val="FigureCaption"/>
        <w:jc w:val="center"/>
      </w:pPr>
      <w:r>
        <w:t>Figure 5. Churn rate by measured service add-on count.</w:t>
      </w:r>
    </w:p>
    <w:p>
      <w:pPr>
        <w:pStyle w:val="Heading2"/>
      </w:pPr>
      <w:r>
        <w:t>Historical customer value</w:t>
      </w:r>
    </w:p>
    <w:p>
      <w:r>
        <w:t>Churned customers had generated $3,684,459.82 in cumulative historical revenue, averaging $1,971.35 per customer. Customers who stayed had generated $17,632,392.12, averaging $3,735.68. These amounts describe revenue accumulated through the snapshot date; they are not forecasts of revenue that will be lost after churn.</w:t>
      </w:r>
    </w:p>
    <w:p>
      <w:r>
        <w:t>The top ten churned customers by historical revenue had generated $107,437.62 combined. The advanced SQL uses `RANK()` and a running `SUM() OVER()` to preserve row-level detail while showing rank and cumulative value.</w:t>
      </w:r>
    </w:p>
    <w:p>
      <w:pPr>
        <w:keepNext/>
        <w:jc w:val="center"/>
      </w:pPr>
      <w:r>
        <w:drawing>
          <wp:inline xmlns:a="http://schemas.openxmlformats.org/drawingml/2006/main" xmlns:pic="http://schemas.openxmlformats.org/drawingml/2006/picture">
            <wp:extent cx="6263640" cy="3523298"/>
            <wp:docPr id="6" name="Picture 6"/>
            <wp:cNvGraphicFramePr>
              <a:graphicFrameLocks noChangeAspect="1"/>
            </wp:cNvGraphicFramePr>
            <a:graphic>
              <a:graphicData uri="http://schemas.openxmlformats.org/drawingml/2006/picture">
                <pic:pic>
                  <pic:nvPicPr>
                    <pic:cNvPr id="0" name="04_window_function_analysis.png"/>
                    <pic:cNvPicPr/>
                  </pic:nvPicPr>
                  <pic:blipFill>
                    <a:blip r:embed="rId15"/>
                    <a:stretch>
                      <a:fillRect/>
                    </a:stretch>
                  </pic:blipFill>
                  <pic:spPr>
                    <a:xfrm>
                      <a:off x="0" y="0"/>
                      <a:ext cx="6263640" cy="3523298"/>
                    </a:xfrm>
                    <a:prstGeom prst="rect"/>
                  </pic:spPr>
                </pic:pic>
              </a:graphicData>
            </a:graphic>
          </wp:inline>
        </w:drawing>
      </w:r>
    </w:p>
    <w:p>
      <w:pPr>
        <w:pStyle w:val="FigureCaption"/>
        <w:jc w:val="center"/>
      </w:pPr>
      <w:r>
        <w:t>Figure 6. MySQL Workbench evidence for the ranking and cumulative historical-revenue query. The original result alias uses “lost revenue”; the audited interpretation is historical revenue from churned customers.</w:t>
      </w:r>
    </w:p>
    <w:p>
      <w:pPr>
        <w:pStyle w:val="Heading2"/>
      </w:pPr>
      <w:r>
        <w:t>Priority-retention segment</w:t>
      </w:r>
    </w:p>
    <w:p>
      <w:r>
        <w:t>A transparent rule identified 442 customers who were classified as Stayed, held Month-to-Month contracts, and had total historical revenue above the company average. This segment is useful for targeted outreach but is not a predictive model and does not establish that every selected customer will churn.</w:t>
      </w:r>
    </w:p>
    <w:p>
      <w:pPr>
        <w:keepNext/>
        <w:jc w:val="center"/>
      </w:pPr>
      <w:r>
        <w:drawing>
          <wp:inline xmlns:a="http://schemas.openxmlformats.org/drawingml/2006/main" xmlns:pic="http://schemas.openxmlformats.org/drawingml/2006/picture">
            <wp:extent cx="6263640" cy="3523298"/>
            <wp:docPr id="7" name="Picture 7"/>
            <wp:cNvGraphicFramePr>
              <a:graphicFrameLocks noChangeAspect="1"/>
            </wp:cNvGraphicFramePr>
            <a:graphic>
              <a:graphicData uri="http://schemas.openxmlformats.org/drawingml/2006/picture">
                <pic:pic>
                  <pic:nvPicPr>
                    <pic:cNvPr id="0" name="05_priority_retention_query.png"/>
                    <pic:cNvPicPr/>
                  </pic:nvPicPr>
                  <pic:blipFill>
                    <a:blip r:embed="rId16"/>
                    <a:stretch>
                      <a:fillRect/>
                    </a:stretch>
                  </pic:blipFill>
                  <pic:spPr>
                    <a:xfrm>
                      <a:off x="0" y="0"/>
                      <a:ext cx="6263640" cy="3523298"/>
                    </a:xfrm>
                    <a:prstGeom prst="rect"/>
                  </pic:spPr>
                </pic:pic>
              </a:graphicData>
            </a:graphic>
          </wp:inline>
        </w:drawing>
      </w:r>
    </w:p>
    <w:p>
      <w:pPr>
        <w:pStyle w:val="FigureCaption"/>
        <w:jc w:val="center"/>
      </w:pPr>
      <w:r>
        <w:t>Figure 7. Multi-table SQL query returning the 442-customer priority-retention segment.</w:t>
      </w:r>
    </w:p>
    <w:p>
      <w:pPr>
        <w:pStyle w:val="Heading1"/>
      </w:pPr>
      <w:r>
        <w:t>Business Recommendations</w:t>
      </w:r>
    </w:p>
    <w:p>
      <w:pPr>
        <w:pStyle w:val="ListNumber"/>
        <w:spacing w:after="40"/>
      </w:pPr>
      <w:r>
        <w:t>Introduce structured onboarding and first-year retention contacts before months 3, 6, and 12.</w:t>
      </w:r>
    </w:p>
    <w:p>
      <w:pPr>
        <w:pStyle w:val="ListNumber"/>
        <w:spacing w:after="40"/>
      </w:pPr>
      <w:r>
        <w:t>Test suitable incentives for Month-to-Month customers to move to longer contracts.</w:t>
      </w:r>
    </w:p>
    <w:p>
      <w:pPr>
        <w:pStyle w:val="ListNumber"/>
        <w:spacing w:after="40"/>
      </w:pPr>
      <w:r>
        <w:t>Review Fiber Optic reliability, support cases, pricing, and competitor comparisons.</w:t>
      </w:r>
    </w:p>
    <w:p>
      <w:pPr>
        <w:pStyle w:val="ListNumber"/>
        <w:spacing w:after="40"/>
      </w:pPr>
      <w:r>
        <w:t>Develop competitor-response offers around devices, plan value, and data allowances.</w:t>
      </w:r>
    </w:p>
    <w:p>
      <w:pPr>
        <w:pStyle w:val="ListNumber"/>
        <w:spacing w:after="40"/>
      </w:pPr>
      <w:r>
        <w:t>Test add-on bundles and measure both retention impact and contribution margin.</w:t>
      </w:r>
    </w:p>
    <w:p>
      <w:pPr>
        <w:pStyle w:val="ListNumber"/>
        <w:spacing w:after="40"/>
      </w:pPr>
      <w:r>
        <w:t>Contact the 442 priority customers with tailored outreach and compare outcomes with a control group.</w:t>
      </w:r>
    </w:p>
    <w:p>
      <w:pPr>
        <w:pStyle w:val="ListNumber"/>
        <w:spacing w:after="40"/>
      </w:pPr>
      <w:r>
        <w:t>Investigate concentrated ZIP-code patterns while accounting for small local sample sizes.</w:t>
      </w:r>
    </w:p>
    <w:p>
      <w:pPr>
        <w:pStyle w:val="Heading1"/>
      </w:pPr>
      <w:r>
        <w:t>Implementation Challenges</w:t>
      </w:r>
    </w:p>
    <w:tbl>
      <w:tblPr>
        <w:tblStyle w:val="TableGrid"/>
        <w:tblW w:type="auto" w:w="0"/>
        <w:jc w:val="center"/>
        <w:tblLook w:firstColumn="1" w:firstRow="1" w:lastColumn="0" w:lastRow="0" w:noHBand="0" w:noVBand="1" w:val="04A0"/>
      </w:tblPr>
      <w:tblGrid>
        <w:gridCol w:w="5040"/>
        <w:gridCol w:w="5040"/>
      </w:tblGrid>
      <w:tr>
        <w:tc>
          <w:tcPr>
            <w:tcW w:type="dxa" w:w="4032"/>
            <w:vAlign w:val="center"/>
            <w:shd w:fill="15324B"/>
          </w:tcPr>
          <w:p>
            <w:r/>
            <w:r>
              <w:rPr>
                <w:rFonts w:ascii="Aptos" w:hAnsi="Aptos"/>
                <w:b/>
                <w:color w:val="FFFFFF"/>
                <w:sz w:val="17"/>
              </w:rPr>
              <w:t>Challenge</w:t>
            </w:r>
          </w:p>
        </w:tc>
        <w:tc>
          <w:tcPr>
            <w:tcW w:type="dxa" w:w="5472"/>
            <w:vAlign w:val="center"/>
            <w:shd w:fill="15324B"/>
          </w:tcPr>
          <w:p>
            <w:r/>
            <w:r>
              <w:rPr>
                <w:rFonts w:ascii="Aptos" w:hAnsi="Aptos"/>
                <w:b/>
                <w:color w:val="FFFFFF"/>
                <w:sz w:val="17"/>
              </w:rPr>
              <w:t>Resolution</w:t>
            </w:r>
          </w:p>
        </w:tc>
      </w:tr>
      <w:tr>
        <w:tc>
          <w:tcPr>
            <w:tcW w:type="dxa" w:w="4032"/>
            <w:vAlign w:val="center"/>
          </w:tcPr>
          <w:p>
            <w:r/>
            <w:r>
              <w:rPr>
                <w:rFonts w:ascii="Aptos" w:hAnsi="Aptos"/>
                <w:b w:val="0"/>
                <w:sz w:val="17"/>
              </w:rPr>
              <w:t>Workbench import wizard was extremely slow</w:t>
            </w:r>
          </w:p>
        </w:tc>
        <w:tc>
          <w:tcPr>
            <w:tcW w:type="dxa" w:w="5472"/>
            <w:vAlign w:val="center"/>
          </w:tcPr>
          <w:p>
            <w:r/>
            <w:r>
              <w:rPr>
                <w:rFonts w:ascii="Aptos" w:hAnsi="Aptos"/>
                <w:b w:val="0"/>
                <w:sz w:val="17"/>
              </w:rPr>
              <w:t>Used server-side `LOAD DATA INFILE` for bulk loading</w:t>
            </w:r>
          </w:p>
        </w:tc>
      </w:tr>
      <w:tr>
        <w:tc>
          <w:tcPr>
            <w:tcW w:type="dxa" w:w="4032"/>
            <w:vAlign w:val="center"/>
            <w:shd w:fill="F4F7F9"/>
          </w:tcPr>
          <w:p>
            <w:r/>
            <w:r>
              <w:rPr>
                <w:rFonts w:ascii="Aptos" w:hAnsi="Aptos"/>
                <w:b w:val="0"/>
                <w:sz w:val="17"/>
              </w:rPr>
              <w:t>`LOAD DATA LOCAL INFILE` returned Error 2068</w:t>
            </w:r>
          </w:p>
        </w:tc>
        <w:tc>
          <w:tcPr>
            <w:tcW w:type="dxa" w:w="5472"/>
            <w:vAlign w:val="center"/>
            <w:shd w:fill="F4F7F9"/>
          </w:tcPr>
          <w:p>
            <w:r/>
            <w:r>
              <w:rPr>
                <w:rFonts w:ascii="Aptos" w:hAnsi="Aptos"/>
                <w:b w:val="0"/>
                <w:sz w:val="17"/>
              </w:rPr>
              <w:t>Used the server `secure_file_priv` directory</w:t>
            </w:r>
          </w:p>
        </w:tc>
      </w:tr>
      <w:tr>
        <w:tc>
          <w:tcPr>
            <w:tcW w:type="dxa" w:w="4032"/>
            <w:vAlign w:val="center"/>
          </w:tcPr>
          <w:p>
            <w:r/>
            <w:r>
              <w:rPr>
                <w:rFonts w:ascii="Aptos" w:hAnsi="Aptos"/>
                <w:b w:val="0"/>
                <w:sz w:val="17"/>
              </w:rPr>
              <w:t>Blank usage fields failed numeric import</w:t>
            </w:r>
          </w:p>
        </w:tc>
        <w:tc>
          <w:tcPr>
            <w:tcW w:type="dxa" w:w="5472"/>
            <w:vAlign w:val="center"/>
          </w:tcPr>
          <w:p>
            <w:r/>
            <w:r>
              <w:rPr>
                <w:rFonts w:ascii="Aptos" w:hAnsi="Aptos"/>
                <w:b w:val="0"/>
                <w:sz w:val="17"/>
              </w:rPr>
              <w:t>Loaded through variables and converted blanks with `NULLIF`</w:t>
            </w:r>
          </w:p>
        </w:tc>
      </w:tr>
      <w:tr>
        <w:tc>
          <w:tcPr>
            <w:tcW w:type="dxa" w:w="4032"/>
            <w:vAlign w:val="center"/>
            <w:shd w:fill="F4F7F9"/>
          </w:tcPr>
          <w:p>
            <w:r/>
            <w:r>
              <w:rPr>
                <w:rFonts w:ascii="Aptos" w:hAnsi="Aptos"/>
                <w:b w:val="0"/>
                <w:sz w:val="17"/>
              </w:rPr>
              <w:t>Correlated subquery exceeded the read timeout</w:t>
            </w:r>
          </w:p>
        </w:tc>
        <w:tc>
          <w:tcPr>
            <w:tcW w:type="dxa" w:w="5472"/>
            <w:vAlign w:val="center"/>
            <w:shd w:fill="F4F7F9"/>
          </w:tcPr>
          <w:p>
            <w:r/>
            <w:r>
              <w:rPr>
                <w:rFonts w:ascii="Aptos" w:hAnsi="Aptos"/>
                <w:b w:val="0"/>
                <w:sz w:val="17"/>
              </w:rPr>
              <w:t>Calculated contract averages once in a CTE and joined them</w:t>
            </w:r>
          </w:p>
        </w:tc>
      </w:tr>
      <w:tr>
        <w:tc>
          <w:tcPr>
            <w:tcW w:type="dxa" w:w="4032"/>
            <w:vAlign w:val="center"/>
          </w:tcPr>
          <w:p>
            <w:r/>
            <w:r>
              <w:rPr>
                <w:rFonts w:ascii="Aptos" w:hAnsi="Aptos"/>
                <w:b w:val="0"/>
                <w:sz w:val="17"/>
              </w:rPr>
              <w:t>Ambiguous negative monthly charges</w:t>
            </w:r>
          </w:p>
        </w:tc>
        <w:tc>
          <w:tcPr>
            <w:tcW w:type="dxa" w:w="5472"/>
            <w:vAlign w:val="center"/>
          </w:tcPr>
          <w:p>
            <w:r/>
            <w:r>
              <w:rPr>
                <w:rFonts w:ascii="Aptos" w:hAnsi="Aptos"/>
                <w:b w:val="0"/>
                <w:sz w:val="17"/>
              </w:rPr>
              <w:t>Preserved, flagged, and excluded from charge averages</w:t>
            </w:r>
          </w:p>
        </w:tc>
      </w:tr>
    </w:tbl>
    <w:p>
      <w:pPr>
        <w:spacing w:after="20"/>
      </w:pPr>
    </w:p>
    <w:p>
      <w:pPr>
        <w:pStyle w:val="Heading1"/>
      </w:pPr>
      <w:r>
        <w:t>Limitations</w:t>
      </w:r>
    </w:p>
    <w:p>
      <w:pPr>
        <w:pStyle w:val="ListBullet"/>
        <w:spacing w:after="40"/>
      </w:pPr>
      <w:r>
        <w:t>The dataset is a single-quarter snapshot and cannot measure individual customer changes through time.</w:t>
      </w:r>
    </w:p>
    <w:p>
      <w:pPr>
        <w:pStyle w:val="ListBullet"/>
        <w:spacing w:after="40"/>
      </w:pPr>
      <w:r>
        <w:t>The findings identify associations and do not prove causality.</w:t>
      </w:r>
    </w:p>
    <w:p>
      <w:pPr>
        <w:pStyle w:val="ListBullet"/>
        <w:spacing w:after="40"/>
      </w:pPr>
      <w:r>
        <w:t>Historical total revenue is not equivalent to future recurring revenue loss.</w:t>
      </w:r>
    </w:p>
    <w:p>
      <w:pPr>
        <w:pStyle w:val="ListBullet"/>
        <w:spacing w:after="40"/>
      </w:pPr>
      <w:r>
        <w:t>The priority-retention segment is a rule-based shortlist rather than a predicted probability of churn.</w:t>
      </w:r>
    </w:p>
    <w:p>
      <w:pPr>
        <w:pStyle w:val="ListBullet"/>
        <w:spacing w:after="40"/>
      </w:pPr>
      <w:r>
        <w:t>The true values of 120 negative monthly-charge records cannot be established from the supplied source.</w:t>
      </w:r>
    </w:p>
    <w:p>
      <w:pPr>
        <w:pStyle w:val="ListBullet"/>
        <w:spacing w:after="40"/>
      </w:pPr>
      <w:r>
        <w:t>ZIP-code hotspot results contain relatively small customer counts and require cautious interpretation.</w:t>
      </w:r>
    </w:p>
    <w:p>
      <w:pPr>
        <w:pStyle w:val="Heading1"/>
      </w:pPr>
      <w:r>
        <w:t>Portfolio Deliverables</w:t>
      </w:r>
    </w:p>
    <w:p>
      <w:r>
        <w:t>The repository includes six SQL scripts, three source datasets, query-result exports, a data-quality summary, the MySQL EER diagram, genuine MySQL Workbench screenshots, analytical charts, supporting Markdown documentation, this complete report, and publishing copy for the portfolio website, CV, and LinkedIn.</w:t>
      </w:r>
    </w:p>
    <w:p>
      <w:pPr>
        <w:keepNext/>
        <w:jc w:val="center"/>
      </w:pPr>
      <w:r>
        <w:drawing>
          <wp:inline xmlns:a="http://schemas.openxmlformats.org/drawingml/2006/main" xmlns:pic="http://schemas.openxmlformats.org/drawingml/2006/picture">
            <wp:extent cx="6263640" cy="3523298"/>
            <wp:docPr id="8" name="Picture 8"/>
            <wp:cNvGraphicFramePr>
              <a:graphicFrameLocks noChangeAspect="1"/>
            </wp:cNvGraphicFramePr>
            <a:graphic>
              <a:graphicData uri="http://schemas.openxmlformats.org/drawingml/2006/picture">
                <pic:pic>
                  <pic:nvPicPr>
                    <pic:cNvPr id="0" name="01_database_structure.png"/>
                    <pic:cNvPicPr/>
                  </pic:nvPicPr>
                  <pic:blipFill>
                    <a:blip r:embed="rId17"/>
                    <a:stretch>
                      <a:fillRect/>
                    </a:stretch>
                  </pic:blipFill>
                  <pic:spPr>
                    <a:xfrm>
                      <a:off x="0" y="0"/>
                      <a:ext cx="6263640" cy="3523298"/>
                    </a:xfrm>
                    <a:prstGeom prst="rect"/>
                  </pic:spPr>
                </pic:pic>
              </a:graphicData>
            </a:graphic>
          </wp:inline>
        </w:drawing>
      </w:r>
    </w:p>
    <w:p>
      <w:pPr>
        <w:pStyle w:val="FigureCaption"/>
        <w:jc w:val="center"/>
      </w:pPr>
      <w:r>
        <w:t>Figure 8. MySQL Workbench schema, tables, views, and verified segment results.</w:t>
      </w:r>
    </w:p>
    <w:p>
      <w:pPr>
        <w:pStyle w:val="Heading1"/>
      </w:pPr>
      <w:r>
        <w:t>Conclusion</w:t>
      </w:r>
    </w:p>
    <w:p>
      <w:r>
        <w:t>The project demonstrates an end-to-end SQL workflow: relational design, staged data loading, transparent data-quality decisions, reproducible analysis, advanced SQL, business interpretation, and communication. The results support focused retention testing around early tenure, Month-to-Month contracts, competitor pressure, service experience, and targeted outreach, while the documented limitations prevent descriptive findings from being overstated.</w:t>
      </w:r>
    </w:p>
    <w:p>
      <w:pPr>
        <w:pStyle w:val="Heading1"/>
      </w:pPr>
      <w:r>
        <w:t>References</w:t>
      </w:r>
    </w:p>
    <w:p>
      <w:r>
        <w:t>Maven Analytics. Telecom Customer Churn. https://mavenanalytics.io/data-playground/telecom-customer-churn</w:t>
      </w:r>
    </w:p>
    <w:p>
      <w:r>
        <w:t>IBM Cognos Analytics. Telco customer churn sample. https://www.ibm.com/docs/en/cognos-analytics/12.1.x?topic=samples-telco-customer-churn</w:t>
      </w:r>
    </w:p>
    <w:sectPr>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0"/>
        <w:sz w:val="16"/>
      </w:rPr>
      <w:t>TeleConnect Customer Churn and Revenue Risk Analysis</w:t>
    </w:r>
    <w: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8A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532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40"/>
    </w:pPr>
    <w:rPr>
      <w:rFonts w:ascii="Aptos" w:hAnsi="Aptos"/>
      <w:i/>
      <w:color w:val="5B65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