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sz w:val="24"/>
        </w:rPr>
        <w:t xml:space="preserve">Pairwise descriptive correlations are modest in magnitude.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AIExposureZ</w:t>
      </w:r>
      <w:r>
        <w:rPr>
          <w:rFonts w:ascii="Times New Roman" w:hAnsi="Times New Roman" w:eastAsia="Times New Roman"/>
          <w:sz w:val="24"/>
        </w:rPr>
        <w:t xml:space="preserve"> is 0.011, suggesting that unconditional fund flows are only weakly related to AI exposure before fixed effects and controls are introduced.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log_mtna_lag</w:t>
      </w:r>
      <w:r>
        <w:rPr>
          <w:rFonts w:ascii="Times New Roman" w:hAnsi="Times New Roman" w:eastAsia="Times New Roman"/>
          <w:sz w:val="24"/>
        </w:rPr>
        <w:t xml:space="preserve"> is -0.035,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mret_lag</w:t>
      </w:r>
      <w:r>
        <w:rPr>
          <w:rFonts w:ascii="Times New Roman" w:hAnsi="Times New Roman" w:eastAsia="Times New Roman"/>
          <w:sz w:val="24"/>
        </w:rPr>
        <w:t xml:space="preserve"> is 0.017, and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flow_lag</w:t>
      </w:r>
      <w:r>
        <w:rPr>
          <w:rFonts w:ascii="Times New Roman" w:hAnsi="Times New Roman" w:eastAsia="Times New Roman"/>
          <w:sz w:val="24"/>
        </w:rPr>
        <w:t xml:space="preserve"> is -0.079. The correlation between </w:t>
      </w:r>
      <w:r>
        <w:rPr>
          <w:rFonts w:ascii="Times New Roman" w:hAnsi="Times New Roman" w:eastAsia="Times New Roman"/>
          <w:b/>
          <w:sz w:val="24"/>
        </w:rPr>
        <w:t>AIExposureZ</w:t>
      </w:r>
      <w:r>
        <w:rPr>
          <w:rFonts w:ascii="Times New Roman" w:hAnsi="Times New Roman" w:eastAsia="Times New Roman"/>
          <w:sz w:val="24"/>
        </w:rPr>
        <w:t xml:space="preserve"> and </w:t>
      </w:r>
      <w:r>
        <w:rPr>
          <w:rFonts w:ascii="Times New Roman" w:hAnsi="Times New Roman" w:eastAsia="Times New Roman"/>
          <w:b/>
          <w:sz w:val="24"/>
        </w:rPr>
        <w:t>log_mtna_lag</w:t>
      </w:r>
      <w:r>
        <w:rPr>
          <w:rFonts w:ascii="Times New Roman" w:hAnsi="Times New Roman" w:eastAsia="Times New Roman"/>
          <w:sz w:val="24"/>
        </w:rPr>
        <w:t xml:space="preserve"> is 0.068, indicating that the exposure measure is not simply a proxy for fund size. Overall, the descriptive correlations do not indicate severe collinearity among the main variables.</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sz w:val="24"/>
        </w:rPr>
        <w:t xml:space="preserve">The coefficient on </w:t>
      </w:r>
      <w:r>
        <w:rPr>
          <w:rFonts w:ascii="Times New Roman" w:hAnsi="Times New Roman" w:eastAsia="Times New Roman"/>
          <w:b/>
          <w:sz w:val="24"/>
        </w:rPr>
        <w:t>AI_post</w:t>
      </w:r>
      <w:r>
        <w:rPr>
          <w:rFonts w:ascii="Times New Roman" w:hAnsi="Times New Roman" w:eastAsia="Times New Roman"/>
          <w:sz w:val="24"/>
        </w:rPr>
        <w:t xml:space="preserve"> is positive and statistically significant in both specifications. In the no-control model, the coefficient is 0.0024 with a </w:t>
      </w:r>
      <w:r>
        <w:rPr>
          <w:rFonts w:ascii="Times New Roman" w:hAnsi="Times New Roman" w:eastAsia="Times New Roman"/>
          <w:b/>
          <w:sz w:val="24"/>
        </w:rPr>
        <w:t>P-value</w:t>
      </w:r>
      <w:r>
        <w:rPr>
          <w:rFonts w:ascii="Times New Roman" w:hAnsi="Times New Roman" w:eastAsia="Times New Roman"/>
          <w:sz w:val="24"/>
        </w:rPr>
        <w:t xml:space="preserve"> of 0.0007. After adding lagged assets, lagged returns, and lagged flows, the coefficient rises to 0.0057 with a </w:t>
      </w:r>
      <w:r>
        <w:rPr>
          <w:rFonts w:ascii="Times New Roman" w:hAnsi="Times New Roman" w:eastAsia="Times New Roman"/>
          <w:b/>
          <w:sz w:val="24"/>
        </w:rPr>
        <w:t>P-value</w:t>
      </w:r>
      <w:r>
        <w:rPr>
          <w:rFonts w:ascii="Times New Roman" w:hAnsi="Times New Roman" w:eastAsia="Times New Roman"/>
          <w:sz w:val="24"/>
        </w:rPr>
        <w:t xml:space="preserve"> below 0.0001. Economically, the controlled estimate implies that a one-standard-deviation increase in pre-shock AI exposure is associated with approximately 0.57 percentage points higher monthly fund inflows after the ChatGPT release.</w:t>
      </w:r>
    </w:p>
    <w:p w14:paraId="3BE501D2">
      <w:pPr>
        <w:spacing w:after="120" w:line="276" w:lineRule="auto"/>
      </w:pPr>
      <w:r>
        <w:rPr>
          <w:rFonts w:ascii="Times New Roman" w:hAnsi="Times New Roman" w:eastAsia="Times New Roman"/>
          <w:sz w:val="24"/>
        </w:rPr>
        <w:t>The magnitude is economically meaningful because monthly mutual fund flows are generally clustered close to zero. The result is consistent with investors reallocating capital toward funds with stronger exposure to AI-related firms after ChatGPT increased public attention to generative AI. This evidence supports H1 and is consistent with an investor attention mechanism in which technological optimism translates into thematic capital allocation.</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sz w:val="24"/>
        </w:rPr>
        <w:t xml:space="preserve">The two portfolio measures reveal different margins of adjustment. In Panel A, the coefficient on </w:t>
      </w:r>
      <w:r>
        <w:rPr>
          <w:rFonts w:ascii="Times New Roman" w:hAnsi="Times New Roman" w:eastAsia="Times New Roman"/>
          <w:b/>
          <w:sz w:val="24"/>
        </w:rPr>
        <w:t>AI_post</w:t>
      </w:r>
      <w:r>
        <w:rPr>
          <w:rFonts w:ascii="Times New Roman" w:hAnsi="Times New Roman" w:eastAsia="Times New Roman"/>
          <w:sz w:val="24"/>
        </w:rPr>
        <w:t xml:space="preserve"> is -0.1146 with a </w:t>
      </w:r>
      <w:r>
        <w:rPr>
          <w:rFonts w:ascii="Times New Roman" w:hAnsi="Times New Roman" w:eastAsia="Times New Roman"/>
          <w:b/>
          <w:sz w:val="24"/>
        </w:rPr>
        <w:t>P-value</w:t>
      </w:r>
      <w:r>
        <w:rPr>
          <w:rFonts w:ascii="Times New Roman" w:hAnsi="Times New Roman" w:eastAsia="Times New Roman"/>
          <w:sz w:val="24"/>
        </w:rPr>
        <w:t xml:space="preserve"> below 0.0001, indicating that higher-exposure funds did not respond by initiating a larger number of new AI-related positions. Instead, the evidence points away from broad exploratory expansion on the extensive margin.</w:t>
      </w:r>
    </w:p>
    <w:p w14:paraId="6D68B78C">
      <w:pPr>
        <w:spacing w:after="120" w:line="276" w:lineRule="auto"/>
      </w:pPr>
      <w:r>
        <w:rPr>
          <w:rFonts w:ascii="Times New Roman" w:hAnsi="Times New Roman" w:eastAsia="Times New Roman"/>
          <w:sz w:val="24"/>
        </w:rPr>
        <w:t xml:space="preserve">Panel B reports a sharply different pattern for </w:t>
      </w:r>
      <w:r>
        <w:rPr>
          <w:rFonts w:ascii="Times New Roman" w:hAnsi="Times New Roman" w:eastAsia="Times New Roman"/>
          <w:b/>
          <w:sz w:val="24"/>
        </w:rPr>
        <w:t>AIShare</w:t>
      </w:r>
      <w:r>
        <w:rPr>
          <w:rFonts w:ascii="Times New Roman" w:hAnsi="Times New Roman" w:eastAsia="Times New Roman"/>
          <w:sz w:val="24"/>
        </w:rPr>
        <w:t xml:space="preserve">. The coefficient on </w:t>
      </w:r>
      <w:r>
        <w:rPr>
          <w:rFonts w:ascii="Times New Roman" w:hAnsi="Times New Roman" w:eastAsia="Times New Roman"/>
          <w:b/>
          <w:sz w:val="24"/>
        </w:rPr>
        <w:t>AI_post</w:t>
      </w:r>
      <w:r>
        <w:rPr>
          <w:rFonts w:ascii="Times New Roman" w:hAnsi="Times New Roman" w:eastAsia="Times New Roman"/>
          <w:sz w:val="24"/>
        </w:rPr>
        <w:t xml:space="preserve"> is 3.8220, with a T-statistic of 13.125 and a </w:t>
      </w:r>
      <w:r>
        <w:rPr>
          <w:rFonts w:ascii="Times New Roman" w:hAnsi="Times New Roman" w:eastAsia="Times New Roman"/>
          <w:b/>
          <w:sz w:val="24"/>
        </w:rPr>
        <w:t>P-value</w:t>
      </w:r>
      <w:r>
        <w:rPr>
          <w:rFonts w:ascii="Times New Roman" w:hAnsi="Times New Roman" w:eastAsia="Times New Roman"/>
          <w:sz w:val="24"/>
        </w:rPr>
        <w:t xml:space="preserve"> below 0.0001. This estimate implies that a one-standard-deviation increase in pre-shock AI exposure is associated with a 3.82 percentage point higher AI portfolio share after ChatGPT. The result is economically meaningful and suggests that AI-exposed funds adjusted primarily by increasing the intensity of allocation to AI-related firms rather than by adding many new AI tickers.</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sz w:val="24"/>
        </w:rPr>
        <w:t>Figure 3 provides descriptive evidence on the evolution of average AI portfolio shares for high- and low-AI-exposure funds. High-AI-exposure funds already hold substantially larger AI portfolio shares before ChatGPT, but the gap widens after 2022 as the high-exposure group increases its AI allocation while the low-exposure group remains relatively flat. This visual pattern is consistent with the regression evidence in Panel B of Table 4, although the figure should be interpreted as descriptive support rather than causal evidence.</w:t>
      </w:r>
    </w:p>
    <w:p w14:paraId="4AA5552F">
      <w:pPr>
        <w:spacing w:after="120" w:line="276" w:lineRule="auto"/>
      </w:pPr>
      <w:r>
        <w:rPr>
          <w:rFonts w:ascii="Times New Roman" w:hAnsi="Times New Roman" w:eastAsia="Times New Roman"/>
          <w:sz w:val="24"/>
        </w:rPr>
        <w:t>Taken together, the H3 evidence supports strategic adaptation on the intensive margin: funds already exposed to AI increased their AI-related portfolio share after a major technological shock. H3 is supported primarily through portfolio allocation intensity rather than new position initiation.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bookmarkStart w:id="0" w:name="_GoBack"/>
      <w:bookmarkEnd w:id="0"/>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319</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2026-05-16T21:54:26Z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