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326EB07E">
      <w:pPr>
        <w:spacing w:before="0" w:after="0" w:line="360" w:lineRule="auto"/>
        <w:jc w:val="left"/>
      </w:pPr>
      <w:bookmarkStart w:id="0" w:name="_GoBack"/>
      <w:bookmarkEnd w:id="0"/>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i/>
          <w:sz w:val="24"/>
        </w:rPr>
        <w:t>μ</w:t>
      </w:r>
      <w:r>
        <w:rPr>
          <w:rFonts w:ascii="Times New Roman" w:hAnsi="Times New Roman" w:eastAsia="Times New Roman"/>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i/>
          <w:sz w:val="24"/>
        </w:rPr>
        <w:t>λ</w:t>
      </w:r>
      <w:r>
        <w:rPr>
          <w:rFonts w:ascii="Times New Roman" w:hAnsi="Times New Roman" w:eastAsia="Times New Roman"/>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i/>
          <w:sz w:val="24"/>
        </w:rPr>
        <w:t>X</w:t>
      </w:r>
      <w:r>
        <w:rPr>
          <w:rFonts w:ascii="Times New Roman" w:hAnsi="Times New Roman" w:eastAsia="Times New Roman"/>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The first dataset is the AI exposure dataset, obtained from the file ai_exposure_larger100.csv. The raw dataset contains 14,430 fund-year observations covering 2,405 unique mutual funds from 2020 to 2025. The key variable in this dataset is avg_of_avg_percent_tna, which is renamed as AI_exposure.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val="0"/>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val="0"/>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val="0"/>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val="0"/>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i/>
          <w:sz w:val="24"/>
        </w:rPr>
        <w:t>N</w:t>
      </w:r>
      <w:r>
        <w:rPr>
          <w:rFonts w:ascii="Times New Roman" w:hAnsi="Times New Roman" w:eastAsia="Times New Roman"/>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i/>
          <w:sz w:val="24"/>
        </w:rPr>
        <w:t>MTNA</w:t>
      </w:r>
      <w:r>
        <w:rPr>
          <w:rFonts w:ascii="Times New Roman" w:hAnsi="Times New Roman" w:eastAsia="Times New Roman"/>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flow_w.</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(flow_w).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To examine heterogeneity in investor responses, this study estimates prior fund alpha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Funds must have at least 12 monthly observations before November 2022 to estimate alpha reliably. This procedure produces 1,231 funds with valid alpha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Based on estimated alpha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The median alpha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(new_ai_positions).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i/>
          <w:sz w:val="24"/>
        </w:rPr>
        <w:t>β</w:t>
      </w:r>
      <w:r>
        <w:rPr>
          <w:rFonts w:ascii="Times New Roman" w:hAnsi="Times New Roman" w:eastAsia="Times New Roman"/>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41D3A34E">
      <w:pPr>
        <w:spacing w:before="0" w:after="0" w:line="360" w:lineRule="auto"/>
        <w:jc w:val="left"/>
      </w:pPr>
      <w:r>
        <w:rPr>
          <w:rFonts w:ascii="Times New Roman" w:hAnsi="Times New Roman" w:eastAsia="Times New Roman"/>
          <w:b w:val="0"/>
          <w:i w:val="0"/>
          <w:sz w:val="24"/>
        </w:rPr>
        <w:t>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percent_tna measures occasionally contain extreme values above 100 or below zero due to leverage, derivatives, or reporting conventions, requiring careful interpretation of portfolio-share magnitudes.</w:t>
      </w:r>
    </w:p>
    <w:p w14:paraId="288912DC">
      <w:pPr>
        <w:spacing w:before="0" w:after="0" w:line="360" w:lineRule="auto"/>
        <w:jc w:val="left"/>
      </w:pP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316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2026-05-14T08:40:00Z</dcterms:created>
  <dc:creator>果果</dc:creator>
  <cp:lastModifiedBy>果果</cp:lastModifiedBy>
  <dcterms:modified xsi:type="dcterms:W3CDTF">2026-05-16T18:32:57Z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