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4AA0C">
      <w:pPr>
        <w:spacing w:before="160" w:after="160" w:line="276" w:lineRule="auto"/>
        <w:jc w:val="center"/>
      </w:pPr>
      <w:bookmarkStart w:id="0" w:name="_GoBack"/>
      <w:bookmarkEnd w:id="0"/>
      <w:r>
        <w:rPr>
          <w:rFonts w:ascii="Arial" w:hAnsi="Arial"/>
          <w:b w:val="0"/>
          <w:sz w:val="36"/>
        </w:rPr>
        <w:t>XI’AN JIAOTONG-LIVERPOOL UNIVERSITY</w:t>
      </w:r>
    </w:p>
    <w:p w14:paraId="718B1E53">
      <w:pPr>
        <w:spacing w:before="0" w:after="360" w:line="276" w:lineRule="auto"/>
        <w:jc w:val="center"/>
      </w:pPr>
      <w:r>
        <w:rPr>
          <w:rFonts w:ascii="宋体" w:hAnsi="宋体"/>
          <w:b/>
          <w:sz w:val="40"/>
        </w:rPr>
        <w:t>西 交 利 物 浦 大 学</w:t>
      </w:r>
    </w:p>
    <w:p w14:paraId="4DF11ED4">
      <w:pPr>
        <w:spacing w:before="0" w:after="0" w:line="276" w:lineRule="auto"/>
        <w:jc w:val="center"/>
      </w:pPr>
      <w:r>
        <w:rPr>
          <w:rFonts w:ascii="Arial" w:hAnsi="Arial"/>
          <w:b w:val="0"/>
          <w:sz w:val="36"/>
        </w:rPr>
        <w:t>COURSEWORK SUBMISSION</w:t>
      </w:r>
    </w:p>
    <w:p w14:paraId="49D22E63">
      <w:pPr>
        <w:spacing w:before="0" w:after="280" w:line="276" w:lineRule="auto"/>
        <w:jc w:val="center"/>
      </w:pPr>
      <w:r>
        <w:rPr>
          <w:rFonts w:ascii="Arial" w:hAnsi="Arial"/>
          <w:b w:val="0"/>
          <w:sz w:val="36"/>
        </w:rPr>
        <w:t>COVER SHEET</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60"/>
        <w:gridCol w:w="2160"/>
        <w:gridCol w:w="2160"/>
      </w:tblGrid>
      <w:tr w14:paraId="6523C5A3">
        <w:trPr>
          <w:jc w:val="center"/>
        </w:trPr>
        <w:tc>
          <w:tcPr>
            <w:tcW w:w="2160" w:type="dxa"/>
            <w:vAlign w:val="center"/>
          </w:tcPr>
          <w:p w14:paraId="3A782F88">
            <w:pPr>
              <w:spacing w:before="0" w:after="0" w:line="240" w:lineRule="auto"/>
              <w:jc w:val="left"/>
            </w:pPr>
            <w:r>
              <w:rPr>
                <w:rFonts w:ascii="Times New Roman" w:hAnsi="Times New Roman"/>
                <w:b w:val="0"/>
                <w:sz w:val="22"/>
              </w:rPr>
              <w:t>Name</w:t>
            </w:r>
          </w:p>
        </w:tc>
        <w:tc>
          <w:tcPr>
            <w:tcW w:w="2160" w:type="dxa"/>
            <w:vAlign w:val="center"/>
          </w:tcPr>
          <w:p w14:paraId="0C76EE76">
            <w:pPr>
              <w:spacing w:before="0" w:after="0" w:line="240" w:lineRule="auto"/>
              <w:jc w:val="center"/>
            </w:pPr>
            <w:r>
              <w:rPr>
                <w:rFonts w:ascii="Times New Roman" w:hAnsi="Times New Roman"/>
                <w:b/>
                <w:sz w:val="22"/>
              </w:rPr>
              <w:t>Lin</w:t>
            </w:r>
          </w:p>
        </w:tc>
        <w:tc>
          <w:tcPr>
            <w:tcW w:w="2160" w:type="dxa"/>
            <w:vAlign w:val="center"/>
          </w:tcPr>
          <w:p w14:paraId="3DACF296">
            <w:pPr>
              <w:spacing w:before="0" w:after="0" w:line="240" w:lineRule="auto"/>
              <w:jc w:val="center"/>
            </w:pPr>
            <w:r>
              <w:rPr>
                <w:rFonts w:ascii="Times New Roman" w:hAnsi="Times New Roman"/>
                <w:b/>
                <w:sz w:val="22"/>
              </w:rPr>
              <w:t>Nan</w:t>
            </w:r>
          </w:p>
        </w:tc>
      </w:tr>
      <w:tr w14:paraId="70D1F4E1">
        <w:trPr>
          <w:jc w:val="center"/>
        </w:trPr>
        <w:tc>
          <w:tcPr>
            <w:tcW w:w="2160" w:type="dxa"/>
            <w:vAlign w:val="center"/>
          </w:tcPr>
          <w:p w14:paraId="5745A343">
            <w:pPr>
              <w:spacing w:before="0" w:after="0" w:line="240" w:lineRule="auto"/>
              <w:jc w:val="left"/>
            </w:pPr>
            <w:r>
              <w:rPr>
                <w:rFonts w:ascii="Times New Roman" w:hAnsi="Times New Roman"/>
                <w:b w:val="0"/>
                <w:sz w:val="22"/>
              </w:rPr>
              <w:t>Student Number</w:t>
            </w:r>
          </w:p>
        </w:tc>
        <w:tc>
          <w:tcPr>
            <w:tcW w:w="2160" w:type="dxa"/>
            <w:vAlign w:val="center"/>
          </w:tcPr>
          <w:p w14:paraId="38F77548">
            <w:pPr>
              <w:spacing w:before="0" w:after="0" w:line="240" w:lineRule="auto"/>
              <w:jc w:val="center"/>
            </w:pPr>
            <w:r>
              <w:rPr>
                <w:rFonts w:ascii="Times New Roman" w:hAnsi="Times New Roman"/>
                <w:b/>
                <w:sz w:val="22"/>
              </w:rPr>
              <w:t>2252173</w:t>
            </w:r>
          </w:p>
        </w:tc>
        <w:tc>
          <w:tcPr>
            <w:tcW w:w="2160" w:type="dxa"/>
            <w:vAlign w:val="center"/>
          </w:tcPr>
          <w:p w14:paraId="2CE4FC50">
            <w:pPr>
              <w:spacing w:before="0" w:after="0" w:line="240" w:lineRule="auto"/>
              <w:jc w:val="center"/>
            </w:pPr>
          </w:p>
        </w:tc>
      </w:tr>
      <w:tr w14:paraId="415D4010">
        <w:trPr>
          <w:jc w:val="center"/>
        </w:trPr>
        <w:tc>
          <w:tcPr>
            <w:tcW w:w="2160" w:type="dxa"/>
            <w:vAlign w:val="center"/>
          </w:tcPr>
          <w:p w14:paraId="29859B24">
            <w:pPr>
              <w:spacing w:before="0" w:after="0" w:line="240" w:lineRule="auto"/>
              <w:jc w:val="left"/>
            </w:pPr>
            <w:r>
              <w:rPr>
                <w:rFonts w:ascii="Times New Roman" w:hAnsi="Times New Roman"/>
                <w:b w:val="0"/>
                <w:sz w:val="22"/>
              </w:rPr>
              <w:t>Programme</w:t>
            </w:r>
          </w:p>
        </w:tc>
        <w:tc>
          <w:tcPr>
            <w:tcW w:w="2160" w:type="dxa"/>
            <w:vAlign w:val="center"/>
          </w:tcPr>
          <w:p w14:paraId="0A01E1CB">
            <w:pPr>
              <w:spacing w:before="0" w:after="0" w:line="240" w:lineRule="auto"/>
              <w:jc w:val="center"/>
            </w:pPr>
            <w:r>
              <w:rPr>
                <w:rFonts w:ascii="Times New Roman" w:hAnsi="Times New Roman"/>
                <w:b/>
                <w:sz w:val="22"/>
              </w:rPr>
              <w:t>IMIS</w:t>
            </w:r>
          </w:p>
        </w:tc>
        <w:tc>
          <w:tcPr>
            <w:tcW w:w="2160" w:type="dxa"/>
            <w:vAlign w:val="center"/>
          </w:tcPr>
          <w:p w14:paraId="47800014">
            <w:pPr>
              <w:spacing w:before="0" w:after="0" w:line="240" w:lineRule="auto"/>
              <w:jc w:val="center"/>
            </w:pPr>
          </w:p>
        </w:tc>
      </w:tr>
      <w:tr w14:paraId="4EC481B2">
        <w:trPr>
          <w:jc w:val="center"/>
        </w:trPr>
        <w:tc>
          <w:tcPr>
            <w:tcW w:w="2160" w:type="dxa"/>
            <w:vAlign w:val="center"/>
          </w:tcPr>
          <w:p w14:paraId="7975648E">
            <w:pPr>
              <w:spacing w:before="0" w:after="0" w:line="240" w:lineRule="auto"/>
              <w:jc w:val="left"/>
            </w:pPr>
            <w:r>
              <w:rPr>
                <w:rFonts w:ascii="Times New Roman" w:hAnsi="Times New Roman"/>
                <w:b w:val="0"/>
                <w:sz w:val="22"/>
              </w:rPr>
              <w:t>Module Title</w:t>
            </w:r>
          </w:p>
        </w:tc>
        <w:tc>
          <w:tcPr>
            <w:tcW w:w="2160" w:type="dxa"/>
            <w:vAlign w:val="center"/>
          </w:tcPr>
          <w:p w14:paraId="42D840B7">
            <w:pPr>
              <w:spacing w:before="0" w:after="0" w:line="240" w:lineRule="auto"/>
              <w:jc w:val="center"/>
            </w:pPr>
            <w:r>
              <w:rPr>
                <w:rFonts w:ascii="Times New Roman" w:hAnsi="Times New Roman"/>
                <w:b/>
                <w:sz w:val="22"/>
              </w:rPr>
              <w:t>Computer-Based Trading in Financial Markets</w:t>
            </w:r>
          </w:p>
        </w:tc>
        <w:tc>
          <w:tcPr>
            <w:tcW w:w="2160" w:type="dxa"/>
            <w:vAlign w:val="center"/>
          </w:tcPr>
          <w:p w14:paraId="41356EDA">
            <w:pPr>
              <w:spacing w:before="0" w:after="0" w:line="240" w:lineRule="auto"/>
              <w:jc w:val="center"/>
            </w:pPr>
          </w:p>
        </w:tc>
      </w:tr>
      <w:tr w14:paraId="267FD679">
        <w:trPr>
          <w:jc w:val="center"/>
        </w:trPr>
        <w:tc>
          <w:tcPr>
            <w:tcW w:w="2160" w:type="dxa"/>
            <w:vAlign w:val="center"/>
          </w:tcPr>
          <w:p w14:paraId="418F5515">
            <w:pPr>
              <w:spacing w:before="0" w:after="0" w:line="240" w:lineRule="auto"/>
              <w:jc w:val="left"/>
            </w:pPr>
            <w:r>
              <w:rPr>
                <w:rFonts w:ascii="Times New Roman" w:hAnsi="Times New Roman"/>
                <w:b w:val="0"/>
                <w:sz w:val="22"/>
              </w:rPr>
              <w:t>Module Code</w:t>
            </w:r>
          </w:p>
        </w:tc>
        <w:tc>
          <w:tcPr>
            <w:tcW w:w="2160" w:type="dxa"/>
            <w:vAlign w:val="center"/>
          </w:tcPr>
          <w:p w14:paraId="59BB56D5">
            <w:pPr>
              <w:spacing w:before="0" w:after="0" w:line="240" w:lineRule="auto"/>
              <w:jc w:val="center"/>
            </w:pPr>
            <w:r>
              <w:rPr>
                <w:rFonts w:ascii="Times New Roman" w:hAnsi="Times New Roman"/>
                <w:b/>
                <w:sz w:val="22"/>
              </w:rPr>
              <w:t>IOM301</w:t>
            </w:r>
          </w:p>
        </w:tc>
        <w:tc>
          <w:tcPr>
            <w:tcW w:w="2160" w:type="dxa"/>
            <w:vAlign w:val="center"/>
          </w:tcPr>
          <w:p w14:paraId="7A45FE1C">
            <w:pPr>
              <w:spacing w:before="0" w:after="0" w:line="240" w:lineRule="auto"/>
              <w:jc w:val="center"/>
            </w:pPr>
          </w:p>
        </w:tc>
      </w:tr>
      <w:tr w14:paraId="7CC48CF9">
        <w:trPr>
          <w:jc w:val="center"/>
        </w:trPr>
        <w:tc>
          <w:tcPr>
            <w:tcW w:w="2160" w:type="dxa"/>
            <w:vAlign w:val="center"/>
          </w:tcPr>
          <w:p w14:paraId="5B4C310A">
            <w:pPr>
              <w:spacing w:before="0" w:after="0" w:line="240" w:lineRule="auto"/>
              <w:jc w:val="left"/>
            </w:pPr>
            <w:r>
              <w:rPr>
                <w:rFonts w:ascii="Times New Roman" w:hAnsi="Times New Roman"/>
                <w:b w:val="0"/>
                <w:sz w:val="22"/>
              </w:rPr>
              <w:t>Assignment Title</w:t>
            </w:r>
          </w:p>
        </w:tc>
        <w:tc>
          <w:tcPr>
            <w:tcW w:w="2160" w:type="dxa"/>
            <w:vAlign w:val="center"/>
          </w:tcPr>
          <w:p w14:paraId="55A0B378">
            <w:pPr>
              <w:spacing w:before="0" w:after="0" w:line="240" w:lineRule="auto"/>
              <w:jc w:val="center"/>
            </w:pPr>
            <w:r>
              <w:rPr>
                <w:rFonts w:ascii="Times New Roman" w:hAnsi="Times New Roman"/>
                <w:b/>
                <w:sz w:val="22"/>
              </w:rPr>
              <w:t>Investment Analysis Report</w:t>
            </w:r>
          </w:p>
        </w:tc>
        <w:tc>
          <w:tcPr>
            <w:tcW w:w="2160" w:type="dxa"/>
            <w:vAlign w:val="center"/>
          </w:tcPr>
          <w:p w14:paraId="0E41971A">
            <w:pPr>
              <w:spacing w:before="0" w:after="0" w:line="240" w:lineRule="auto"/>
              <w:jc w:val="center"/>
            </w:pPr>
          </w:p>
        </w:tc>
      </w:tr>
      <w:tr w14:paraId="006C5665">
        <w:trPr>
          <w:jc w:val="center"/>
        </w:trPr>
        <w:tc>
          <w:tcPr>
            <w:tcW w:w="2160" w:type="dxa"/>
            <w:vAlign w:val="center"/>
          </w:tcPr>
          <w:p w14:paraId="39E8A4C8">
            <w:pPr>
              <w:spacing w:before="0" w:after="0" w:line="240" w:lineRule="auto"/>
              <w:jc w:val="left"/>
            </w:pPr>
            <w:r>
              <w:rPr>
                <w:rFonts w:ascii="Times New Roman" w:hAnsi="Times New Roman"/>
                <w:b w:val="0"/>
                <w:sz w:val="22"/>
              </w:rPr>
              <w:t>Submission Deadline</w:t>
            </w:r>
          </w:p>
        </w:tc>
        <w:tc>
          <w:tcPr>
            <w:tcW w:w="2160" w:type="dxa"/>
            <w:vAlign w:val="center"/>
          </w:tcPr>
          <w:p w14:paraId="03AD6A26">
            <w:pPr>
              <w:spacing w:before="0" w:after="0" w:line="240" w:lineRule="auto"/>
              <w:jc w:val="center"/>
            </w:pPr>
            <w:r>
              <w:rPr>
                <w:rFonts w:ascii="Times New Roman" w:hAnsi="Times New Roman"/>
                <w:b/>
                <w:sz w:val="22"/>
              </w:rPr>
              <w:t>20 May 2026</w:t>
            </w:r>
          </w:p>
        </w:tc>
        <w:tc>
          <w:tcPr>
            <w:tcW w:w="2160" w:type="dxa"/>
            <w:vAlign w:val="center"/>
          </w:tcPr>
          <w:p w14:paraId="792E1E14">
            <w:pPr>
              <w:spacing w:before="0" w:after="0" w:line="240" w:lineRule="auto"/>
              <w:jc w:val="center"/>
            </w:pPr>
          </w:p>
        </w:tc>
      </w:tr>
      <w:tr w14:paraId="5DC429F2">
        <w:trPr>
          <w:jc w:val="center"/>
        </w:trPr>
        <w:tc>
          <w:tcPr>
            <w:tcW w:w="2160" w:type="dxa"/>
            <w:vAlign w:val="center"/>
          </w:tcPr>
          <w:p w14:paraId="3370C195">
            <w:pPr>
              <w:spacing w:before="0" w:after="0" w:line="240" w:lineRule="auto"/>
              <w:jc w:val="left"/>
            </w:pPr>
            <w:r>
              <w:rPr>
                <w:rFonts w:ascii="Times New Roman" w:hAnsi="Times New Roman"/>
                <w:b w:val="0"/>
                <w:sz w:val="22"/>
              </w:rPr>
              <w:t>Module Leader</w:t>
            </w:r>
          </w:p>
        </w:tc>
        <w:tc>
          <w:tcPr>
            <w:tcW w:w="2160" w:type="dxa"/>
            <w:vAlign w:val="center"/>
          </w:tcPr>
          <w:p w14:paraId="5C2068E1">
            <w:pPr>
              <w:spacing w:before="0" w:after="0" w:line="240" w:lineRule="auto"/>
              <w:jc w:val="center"/>
            </w:pPr>
            <w:r>
              <w:rPr>
                <w:rFonts w:ascii="Times New Roman" w:hAnsi="Times New Roman"/>
                <w:b/>
                <w:sz w:val="22"/>
              </w:rPr>
              <w:t>Liu</w:t>
            </w:r>
          </w:p>
        </w:tc>
        <w:tc>
          <w:tcPr>
            <w:tcW w:w="2160" w:type="dxa"/>
            <w:vAlign w:val="center"/>
          </w:tcPr>
          <w:p w14:paraId="3A28DC56">
            <w:pPr>
              <w:spacing w:before="0" w:after="0" w:line="240" w:lineRule="auto"/>
              <w:jc w:val="center"/>
            </w:pPr>
            <w:r>
              <w:rPr>
                <w:rFonts w:ascii="Times New Roman" w:hAnsi="Times New Roman"/>
                <w:b/>
                <w:sz w:val="22"/>
              </w:rPr>
              <w:t>Zihua</w:t>
            </w:r>
          </w:p>
        </w:tc>
      </w:tr>
    </w:tbl>
    <w:p w14:paraId="020983D7">
      <w:pPr>
        <w:spacing w:before="320" w:after="120" w:line="276" w:lineRule="auto"/>
        <w:jc w:val="center"/>
      </w:pPr>
      <w:r>
        <w:rPr>
          <w:rFonts w:ascii="Times New Roman" w:hAnsi="Times New Roman"/>
          <w:b w:val="0"/>
          <w:i w:val="0"/>
          <w:sz w:val="21"/>
        </w:rPr>
        <w:t>By uploading or submitting this coursework submission cover sheet, I certify the following:</w:t>
      </w:r>
    </w:p>
    <w:p w14:paraId="2104A198">
      <w:pPr>
        <w:spacing w:before="0" w:after="40" w:line="252" w:lineRule="auto"/>
        <w:jc w:val="both"/>
      </w:pPr>
      <w:r>
        <w:rPr>
          <w:rFonts w:ascii="Times New Roman" w:hAnsi="Times New Roman"/>
          <w:b w:val="0"/>
          <w:i w:val="0"/>
          <w:sz w:val="21"/>
        </w:rPr>
        <w:t>1. I have read and understood the definitions of collusion, copying, plagiarism, dishonest use of data, and academic offences involving Artificial Intelligence (AI) as outlined in the Academic Integrity Policy of Xi’an Jiaotong-Liverpool University.</w:t>
      </w:r>
    </w:p>
    <w:p w14:paraId="3AA5E35C">
      <w:pPr>
        <w:spacing w:before="0" w:after="40" w:line="252" w:lineRule="auto"/>
        <w:jc w:val="both"/>
      </w:pPr>
      <w:r>
        <w:rPr>
          <w:rFonts w:ascii="Times New Roman" w:hAnsi="Times New Roman"/>
          <w:b w:val="0"/>
          <w:i w:val="0"/>
          <w:sz w:val="21"/>
        </w:rPr>
        <w:t>2. 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w:t>
      </w:r>
    </w:p>
    <w:p w14:paraId="1A51DDC4">
      <w:pPr>
        <w:spacing w:before="0" w:after="40" w:line="252" w:lineRule="auto"/>
        <w:jc w:val="both"/>
      </w:pPr>
      <w:r>
        <w:rPr>
          <w:rFonts w:ascii="Times New Roman" w:hAnsi="Times New Roman"/>
          <w:b w:val="0"/>
          <w:i w:val="0"/>
          <w:sz w:val="21"/>
        </w:rPr>
        <w:t>3. This work is not the product of unauthorized collaboration between myself and others.</w:t>
      </w:r>
    </w:p>
    <w:p w14:paraId="4DE1B19E">
      <w:pPr>
        <w:spacing w:before="0" w:after="40" w:line="252" w:lineRule="auto"/>
        <w:jc w:val="both"/>
      </w:pPr>
      <w:r>
        <w:rPr>
          <w:rFonts w:ascii="Times New Roman" w:hAnsi="Times New Roman"/>
          <w:b w:val="0"/>
          <w:i w:val="0"/>
          <w:sz w:val="21"/>
        </w:rPr>
        <w:t>4. This work is free of embellished or fabricated data.</w:t>
      </w:r>
    </w:p>
    <w:p w14:paraId="6C679D05">
      <w:pPr>
        <w:spacing w:before="240" w:after="240" w:line="252" w:lineRule="auto"/>
        <w:jc w:val="both"/>
      </w:pPr>
      <w:r>
        <w:rPr>
          <w:rFonts w:ascii="Times New Roman" w:hAnsi="Times New Roman"/>
          <w:b w:val="0"/>
          <w:i w:val="0"/>
          <w:sz w:val="21"/>
        </w:rP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w:t>
      </w:r>
    </w:p>
    <w:p w14:paraId="5C56E8B3">
      <w:pPr>
        <w:spacing w:before="120" w:after="80" w:line="276" w:lineRule="auto"/>
        <w:jc w:val="center"/>
      </w:pPr>
      <w:r>
        <w:rPr>
          <w:rFonts w:ascii="Times New Roman" w:hAnsi="Times New Roman"/>
          <w:b w:val="0"/>
          <w:i w:val="0"/>
          <w:sz w:val="21"/>
        </w:rPr>
        <w:t>Signature ……………Nan.Lin………………………        Date ……………………20 May 2026……………………………</w:t>
      </w:r>
    </w:p>
    <w:tbl>
      <w:tblPr>
        <w:tblStyle w:val="3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624"/>
        <w:gridCol w:w="2624"/>
        <w:gridCol w:w="2624"/>
        <w:gridCol w:w="2624"/>
      </w:tblGrid>
      <w:tr w14:paraId="6EEDF097">
        <w:tc>
          <w:tcPr>
            <w:tcW w:w="2624" w:type="dxa"/>
            <w:vAlign w:val="center"/>
          </w:tcPr>
          <w:p w14:paraId="6A814E02">
            <w:pPr>
              <w:spacing w:before="0" w:after="0" w:line="240" w:lineRule="auto"/>
              <w:jc w:val="center"/>
            </w:pPr>
            <w:r>
              <w:rPr>
                <w:rFonts w:ascii="Times New Roman" w:hAnsi="Times New Roman"/>
                <w:b w:val="0"/>
                <w:sz w:val="20"/>
              </w:rPr>
              <w:t>For Academic Office use:</w:t>
            </w:r>
          </w:p>
        </w:tc>
        <w:tc>
          <w:tcPr>
            <w:tcW w:w="2624" w:type="dxa"/>
            <w:vAlign w:val="center"/>
          </w:tcPr>
          <w:p w14:paraId="68F4F359">
            <w:pPr>
              <w:spacing w:before="0" w:after="0" w:line="240" w:lineRule="auto"/>
              <w:jc w:val="center"/>
            </w:pPr>
            <w:r>
              <w:rPr>
                <w:rFonts w:ascii="Times New Roman" w:hAnsi="Times New Roman"/>
                <w:b w:val="0"/>
                <w:sz w:val="20"/>
              </w:rPr>
              <w:t>Date Received</w:t>
            </w:r>
          </w:p>
        </w:tc>
        <w:tc>
          <w:tcPr>
            <w:tcW w:w="2624" w:type="dxa"/>
            <w:vAlign w:val="center"/>
          </w:tcPr>
          <w:p w14:paraId="1F40CE8B">
            <w:pPr>
              <w:spacing w:before="0" w:after="0" w:line="240" w:lineRule="auto"/>
              <w:jc w:val="center"/>
            </w:pPr>
            <w:r>
              <w:rPr>
                <w:rFonts w:ascii="Times New Roman" w:hAnsi="Times New Roman"/>
                <w:b w:val="0"/>
                <w:sz w:val="20"/>
              </w:rPr>
              <w:t>Working Days Late</w:t>
            </w:r>
          </w:p>
        </w:tc>
        <w:tc>
          <w:tcPr>
            <w:tcW w:w="2624" w:type="dxa"/>
            <w:vAlign w:val="center"/>
          </w:tcPr>
          <w:p w14:paraId="445CB55F">
            <w:pPr>
              <w:spacing w:before="0" w:after="0" w:line="240" w:lineRule="auto"/>
              <w:jc w:val="center"/>
            </w:pPr>
            <w:r>
              <w:rPr>
                <w:rFonts w:ascii="Times New Roman" w:hAnsi="Times New Roman"/>
                <w:b w:val="0"/>
                <w:sz w:val="20"/>
              </w:rPr>
              <w:t>Penalty</w:t>
            </w:r>
          </w:p>
        </w:tc>
      </w:tr>
      <w:tr w14:paraId="0C7602F6">
        <w:tc>
          <w:tcPr>
            <w:tcW w:w="2624" w:type="dxa"/>
            <w:vAlign w:val="center"/>
          </w:tcPr>
          <w:p w14:paraId="4951F736">
            <w:pPr>
              <w:spacing w:before="0" w:after="0" w:line="240" w:lineRule="auto"/>
            </w:pPr>
          </w:p>
        </w:tc>
        <w:tc>
          <w:tcPr>
            <w:tcW w:w="2624" w:type="dxa"/>
            <w:vAlign w:val="center"/>
          </w:tcPr>
          <w:p w14:paraId="7B3063DF">
            <w:pPr>
              <w:spacing w:before="0" w:after="0" w:line="240" w:lineRule="auto"/>
            </w:pPr>
          </w:p>
        </w:tc>
        <w:tc>
          <w:tcPr>
            <w:tcW w:w="2624" w:type="dxa"/>
            <w:vAlign w:val="center"/>
          </w:tcPr>
          <w:p w14:paraId="6D3C3ED4">
            <w:pPr>
              <w:spacing w:before="0" w:after="0" w:line="240" w:lineRule="auto"/>
            </w:pPr>
          </w:p>
        </w:tc>
        <w:tc>
          <w:tcPr>
            <w:tcW w:w="2624" w:type="dxa"/>
            <w:vAlign w:val="center"/>
          </w:tcPr>
          <w:p w14:paraId="38DC29DA">
            <w:pPr>
              <w:spacing w:before="0" w:after="0" w:line="240" w:lineRule="auto"/>
            </w:pPr>
          </w:p>
        </w:tc>
      </w:tr>
    </w:tbl>
    <w:p w14:paraId="1AD69549">
      <w:r>
        <w:br w:type="page"/>
      </w:r>
    </w:p>
    <w:p w14:paraId="0059CA5D">
      <w:pPr>
        <w:jc w:val="center"/>
      </w:pPr>
      <w:r>
        <w:drawing>
          <wp:inline distT="0" distB="0" distL="114300" distR="114300">
            <wp:extent cx="4114800" cy="842010"/>
            <wp:effectExtent l="0" t="0" r="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14800" cy="842077"/>
                    </a:xfrm>
                    <a:prstGeom prst="rect">
                      <a:avLst/>
                    </a:prstGeom>
                  </pic:spPr>
                </pic:pic>
              </a:graphicData>
            </a:graphic>
          </wp:inline>
        </w:drawing>
      </w:r>
    </w:p>
    <w:p w14:paraId="6A9D36B6">
      <w:pPr>
        <w:spacing w:before="520" w:after="120" w:line="276" w:lineRule="auto"/>
        <w:jc w:val="center"/>
      </w:pPr>
      <w:r>
        <w:rPr>
          <w:rFonts w:ascii="Times New Roman" w:hAnsi="Times New Roman"/>
          <w:b/>
          <w:sz w:val="32"/>
        </w:rPr>
        <w:t>AI Data Center Power Bottleneck Trade</w:t>
      </w:r>
    </w:p>
    <w:p w14:paraId="2A1B1F34">
      <w:pPr>
        <w:spacing w:before="0" w:after="480" w:line="276" w:lineRule="auto"/>
        <w:jc w:val="center"/>
      </w:pPr>
      <w:r>
        <w:rPr>
          <w:rFonts w:ascii="Times New Roman" w:hAnsi="Times New Roman"/>
          <w:b/>
          <w:sz w:val="26"/>
        </w:rPr>
        <w:t>An Investment Strategy Based on Revenue Growth, Momentum, and Power Infrastructure Exposure</w:t>
      </w:r>
    </w:p>
    <w:p w14:paraId="6CD8AB2A">
      <w:pPr>
        <w:spacing w:before="0" w:after="80" w:line="276" w:lineRule="auto"/>
        <w:jc w:val="center"/>
      </w:pPr>
      <w:r>
        <w:rPr>
          <w:rFonts w:ascii="Times New Roman" w:hAnsi="Times New Roman"/>
          <w:b w:val="0"/>
          <w:sz w:val="24"/>
        </w:rPr>
        <w:t>By</w:t>
      </w:r>
    </w:p>
    <w:p w14:paraId="71EA719C">
      <w:pPr>
        <w:spacing w:before="0" w:after="40" w:line="276" w:lineRule="auto"/>
        <w:jc w:val="center"/>
      </w:pPr>
      <w:r>
        <w:rPr>
          <w:rFonts w:ascii="Times New Roman" w:hAnsi="Times New Roman"/>
          <w:b/>
          <w:sz w:val="24"/>
        </w:rPr>
        <w:t>Nan.Lin</w:t>
      </w:r>
    </w:p>
    <w:p w14:paraId="2BF5E3A7">
      <w:pPr>
        <w:spacing w:before="0" w:after="400" w:line="276" w:lineRule="auto"/>
        <w:jc w:val="center"/>
      </w:pPr>
      <w:r>
        <w:rPr>
          <w:rFonts w:ascii="Times New Roman" w:hAnsi="Times New Roman"/>
          <w:b w:val="0"/>
          <w:sz w:val="24"/>
        </w:rPr>
        <w:t>2252173</w:t>
      </w:r>
    </w:p>
    <w:p w14:paraId="5B3CF294">
      <w:pPr>
        <w:spacing w:before="0" w:after="400" w:line="276" w:lineRule="auto"/>
        <w:jc w:val="center"/>
      </w:pPr>
      <w:r>
        <w:rPr>
          <w:rFonts w:ascii="Times New Roman" w:hAnsi="Times New Roman"/>
          <w:b w:val="0"/>
          <w:sz w:val="24"/>
        </w:rPr>
        <w:t>Module Leader: Zihua Liu</w:t>
      </w:r>
    </w:p>
    <w:p w14:paraId="6B68CE2A">
      <w:pPr>
        <w:spacing w:before="0" w:after="400" w:line="276" w:lineRule="auto"/>
        <w:jc w:val="center"/>
      </w:pPr>
      <w:r>
        <w:rPr>
          <w:rFonts w:ascii="Times New Roman" w:hAnsi="Times New Roman"/>
          <w:b w:val="0"/>
          <w:sz w:val="24"/>
        </w:rPr>
        <w:t>A Coursework Report Submitted for IOM301 Computer-Based Trading in Financial Markets</w:t>
      </w:r>
    </w:p>
    <w:p w14:paraId="1BAE29CB">
      <w:pPr>
        <w:spacing w:before="0" w:after="40" w:line="276" w:lineRule="auto"/>
        <w:jc w:val="center"/>
      </w:pPr>
      <w:r>
        <w:rPr>
          <w:rFonts w:ascii="Times New Roman" w:hAnsi="Times New Roman"/>
          <w:b w:val="0"/>
          <w:sz w:val="24"/>
        </w:rPr>
        <w:t>International Business School Suzhou</w:t>
      </w:r>
    </w:p>
    <w:p w14:paraId="7666F53C">
      <w:pPr>
        <w:spacing w:before="0" w:after="360" w:line="276" w:lineRule="auto"/>
        <w:jc w:val="center"/>
      </w:pPr>
      <w:r>
        <w:rPr>
          <w:rFonts w:ascii="Times New Roman" w:hAnsi="Times New Roman"/>
          <w:b w:val="0"/>
          <w:sz w:val="24"/>
        </w:rPr>
        <w:t>Xi’an Jiaotong-Liverpool University</w:t>
      </w:r>
    </w:p>
    <w:p w14:paraId="0C4D6BA5">
      <w:pPr>
        <w:spacing w:before="0" w:after="0" w:line="276" w:lineRule="auto"/>
        <w:jc w:val="center"/>
      </w:pPr>
      <w:r>
        <w:rPr>
          <w:rFonts w:ascii="Times New Roman" w:hAnsi="Times New Roman"/>
          <w:b w:val="0"/>
          <w:sz w:val="24"/>
        </w:rPr>
        <w:t>May 20, 2026</w:t>
      </w:r>
    </w:p>
    <w:p w14:paraId="7DF91BD3">
      <w:r>
        <w:br w:type="page"/>
      </w:r>
    </w:p>
    <w:p w14:paraId="5C7440B6">
      <w:pPr>
        <w:spacing w:before="240" w:after="120" w:line="276" w:lineRule="auto"/>
        <w:jc w:val="left"/>
      </w:pPr>
      <w:r>
        <w:rPr>
          <w:rFonts w:ascii="Times New Roman" w:hAnsi="Times New Roman"/>
          <w:b/>
          <w:sz w:val="28"/>
        </w:rPr>
        <w:t>List of Abbreviations</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249"/>
        <w:gridCol w:w="5249"/>
      </w:tblGrid>
      <w:tr w14:paraId="1C246D8E">
        <w:trPr>
          <w:jc w:val="center"/>
        </w:trPr>
        <w:tc>
          <w:tcPr>
            <w:tcW w:w="5249" w:type="dxa"/>
            <w:vAlign w:val="center"/>
          </w:tcPr>
          <w:p w14:paraId="0066063F">
            <w:pPr>
              <w:spacing w:before="0" w:after="0" w:line="240" w:lineRule="auto"/>
              <w:jc w:val="center"/>
            </w:pPr>
            <w:r>
              <w:rPr>
                <w:rFonts w:ascii="Times New Roman" w:hAnsi="Times New Roman"/>
                <w:b/>
                <w:sz w:val="22"/>
              </w:rPr>
              <w:t>AI</w:t>
            </w:r>
          </w:p>
        </w:tc>
        <w:tc>
          <w:tcPr>
            <w:tcW w:w="5249" w:type="dxa"/>
            <w:vAlign w:val="center"/>
          </w:tcPr>
          <w:p w14:paraId="6270A384">
            <w:pPr>
              <w:spacing w:before="0" w:after="0" w:line="240" w:lineRule="auto"/>
              <w:jc w:val="left"/>
            </w:pPr>
            <w:r>
              <w:rPr>
                <w:rFonts w:ascii="Times New Roman" w:hAnsi="Times New Roman"/>
                <w:b w:val="0"/>
                <w:sz w:val="22"/>
              </w:rPr>
              <w:t>Artificial Intelligence</w:t>
            </w:r>
          </w:p>
        </w:tc>
      </w:tr>
      <w:tr w14:paraId="70811E10">
        <w:trPr>
          <w:jc w:val="center"/>
        </w:trPr>
        <w:tc>
          <w:tcPr>
            <w:tcW w:w="5249" w:type="dxa"/>
            <w:vAlign w:val="center"/>
          </w:tcPr>
          <w:p w14:paraId="241FF403">
            <w:pPr>
              <w:spacing w:before="0" w:after="0" w:line="240" w:lineRule="auto"/>
              <w:jc w:val="center"/>
            </w:pPr>
            <w:r>
              <w:rPr>
                <w:rFonts w:ascii="Times New Roman" w:hAnsi="Times New Roman"/>
                <w:b/>
                <w:sz w:val="22"/>
              </w:rPr>
              <w:t>CAPEX</w:t>
            </w:r>
          </w:p>
        </w:tc>
        <w:tc>
          <w:tcPr>
            <w:tcW w:w="5249" w:type="dxa"/>
            <w:vAlign w:val="center"/>
          </w:tcPr>
          <w:p w14:paraId="3D648E93">
            <w:pPr>
              <w:spacing w:before="0" w:after="0" w:line="240" w:lineRule="auto"/>
              <w:jc w:val="left"/>
            </w:pPr>
            <w:r>
              <w:rPr>
                <w:rFonts w:ascii="Times New Roman" w:hAnsi="Times New Roman"/>
                <w:b w:val="0"/>
                <w:sz w:val="22"/>
              </w:rPr>
              <w:t>Capital Expenditure</w:t>
            </w:r>
          </w:p>
        </w:tc>
      </w:tr>
      <w:tr w14:paraId="3F6BD88E">
        <w:trPr>
          <w:jc w:val="center"/>
        </w:trPr>
        <w:tc>
          <w:tcPr>
            <w:tcW w:w="5249" w:type="dxa"/>
            <w:vAlign w:val="center"/>
          </w:tcPr>
          <w:p w14:paraId="35E102A1">
            <w:pPr>
              <w:spacing w:before="0" w:after="0" w:line="240" w:lineRule="auto"/>
              <w:jc w:val="center"/>
            </w:pPr>
            <w:r>
              <w:rPr>
                <w:rFonts w:ascii="Times New Roman" w:hAnsi="Times New Roman"/>
                <w:b/>
                <w:sz w:val="22"/>
              </w:rPr>
              <w:t>CRSP</w:t>
            </w:r>
          </w:p>
        </w:tc>
        <w:tc>
          <w:tcPr>
            <w:tcW w:w="5249" w:type="dxa"/>
            <w:vAlign w:val="center"/>
          </w:tcPr>
          <w:p w14:paraId="42847331">
            <w:pPr>
              <w:spacing w:before="0" w:after="0" w:line="240" w:lineRule="auto"/>
              <w:jc w:val="left"/>
            </w:pPr>
            <w:r>
              <w:rPr>
                <w:rFonts w:ascii="Times New Roman" w:hAnsi="Times New Roman"/>
                <w:b w:val="0"/>
                <w:sz w:val="22"/>
              </w:rPr>
              <w:t>Center for Research in Security Prices</w:t>
            </w:r>
          </w:p>
        </w:tc>
      </w:tr>
      <w:tr w14:paraId="53C8F1F7">
        <w:trPr>
          <w:jc w:val="center"/>
        </w:trPr>
        <w:tc>
          <w:tcPr>
            <w:tcW w:w="5249" w:type="dxa"/>
            <w:vAlign w:val="center"/>
          </w:tcPr>
          <w:p w14:paraId="053D28DA">
            <w:pPr>
              <w:spacing w:before="0" w:after="0" w:line="240" w:lineRule="auto"/>
              <w:jc w:val="center"/>
            </w:pPr>
            <w:r>
              <w:rPr>
                <w:rFonts w:ascii="Times New Roman" w:hAnsi="Times New Roman"/>
                <w:b/>
                <w:sz w:val="22"/>
              </w:rPr>
              <w:t>EDA</w:t>
            </w:r>
          </w:p>
        </w:tc>
        <w:tc>
          <w:tcPr>
            <w:tcW w:w="5249" w:type="dxa"/>
            <w:vAlign w:val="center"/>
          </w:tcPr>
          <w:p w14:paraId="5F74C668">
            <w:pPr>
              <w:spacing w:before="0" w:after="0" w:line="240" w:lineRule="auto"/>
              <w:jc w:val="left"/>
            </w:pPr>
            <w:r>
              <w:rPr>
                <w:rFonts w:ascii="Times New Roman" w:hAnsi="Times New Roman"/>
                <w:b w:val="0"/>
                <w:sz w:val="22"/>
              </w:rPr>
              <w:t>Exploratory Data Analysis</w:t>
            </w:r>
          </w:p>
        </w:tc>
      </w:tr>
      <w:tr w14:paraId="76B4F0C9">
        <w:trPr>
          <w:jc w:val="center"/>
        </w:trPr>
        <w:tc>
          <w:tcPr>
            <w:tcW w:w="5249" w:type="dxa"/>
            <w:vAlign w:val="center"/>
          </w:tcPr>
          <w:p w14:paraId="226BBB2D">
            <w:pPr>
              <w:spacing w:before="0" w:after="0" w:line="240" w:lineRule="auto"/>
              <w:jc w:val="center"/>
            </w:pPr>
            <w:r>
              <w:rPr>
                <w:rFonts w:ascii="Times New Roman" w:hAnsi="Times New Roman"/>
                <w:b/>
                <w:sz w:val="22"/>
              </w:rPr>
              <w:t>OLS</w:t>
            </w:r>
          </w:p>
        </w:tc>
        <w:tc>
          <w:tcPr>
            <w:tcW w:w="5249" w:type="dxa"/>
            <w:vAlign w:val="center"/>
          </w:tcPr>
          <w:p w14:paraId="7CC822D5">
            <w:pPr>
              <w:spacing w:before="0" w:after="0" w:line="240" w:lineRule="auto"/>
              <w:jc w:val="left"/>
            </w:pPr>
            <w:r>
              <w:rPr>
                <w:rFonts w:ascii="Times New Roman" w:hAnsi="Times New Roman"/>
                <w:b w:val="0"/>
                <w:sz w:val="22"/>
              </w:rPr>
              <w:t>Ordinary Least Squares</w:t>
            </w:r>
          </w:p>
        </w:tc>
      </w:tr>
      <w:tr w14:paraId="2AF1E46B">
        <w:trPr>
          <w:jc w:val="center"/>
        </w:trPr>
        <w:tc>
          <w:tcPr>
            <w:tcW w:w="5249" w:type="dxa"/>
            <w:vAlign w:val="center"/>
          </w:tcPr>
          <w:p w14:paraId="0A8A9E70">
            <w:pPr>
              <w:spacing w:before="0" w:after="0" w:line="240" w:lineRule="auto"/>
              <w:jc w:val="center"/>
            </w:pPr>
            <w:r>
              <w:rPr>
                <w:rFonts w:ascii="Times New Roman" w:hAnsi="Times New Roman"/>
                <w:b/>
                <w:sz w:val="22"/>
              </w:rPr>
              <w:t>REIT</w:t>
            </w:r>
          </w:p>
        </w:tc>
        <w:tc>
          <w:tcPr>
            <w:tcW w:w="5249" w:type="dxa"/>
            <w:vAlign w:val="center"/>
          </w:tcPr>
          <w:p w14:paraId="7668983D">
            <w:pPr>
              <w:spacing w:before="0" w:after="0" w:line="240" w:lineRule="auto"/>
              <w:jc w:val="left"/>
            </w:pPr>
            <w:r>
              <w:rPr>
                <w:rFonts w:ascii="Times New Roman" w:hAnsi="Times New Roman"/>
                <w:b w:val="0"/>
                <w:sz w:val="22"/>
              </w:rPr>
              <w:t>Real Estate Investment Trust</w:t>
            </w:r>
          </w:p>
        </w:tc>
      </w:tr>
      <w:tr w14:paraId="12AB373D">
        <w:trPr>
          <w:jc w:val="center"/>
        </w:trPr>
        <w:tc>
          <w:tcPr>
            <w:tcW w:w="5249" w:type="dxa"/>
            <w:vAlign w:val="center"/>
          </w:tcPr>
          <w:p w14:paraId="5F8F2AF7">
            <w:pPr>
              <w:spacing w:before="0" w:after="0" w:line="240" w:lineRule="auto"/>
              <w:jc w:val="center"/>
            </w:pPr>
            <w:r>
              <w:rPr>
                <w:rFonts w:ascii="Times New Roman" w:hAnsi="Times New Roman"/>
                <w:b/>
                <w:sz w:val="22"/>
              </w:rPr>
              <w:t>WRDS</w:t>
            </w:r>
          </w:p>
        </w:tc>
        <w:tc>
          <w:tcPr>
            <w:tcW w:w="5249" w:type="dxa"/>
            <w:vAlign w:val="center"/>
          </w:tcPr>
          <w:p w14:paraId="1ED3FB54">
            <w:pPr>
              <w:spacing w:before="0" w:after="0" w:line="240" w:lineRule="auto"/>
              <w:jc w:val="left"/>
            </w:pPr>
            <w:r>
              <w:rPr>
                <w:rFonts w:ascii="Times New Roman" w:hAnsi="Times New Roman"/>
                <w:b w:val="0"/>
                <w:sz w:val="22"/>
              </w:rPr>
              <w:t>Wharton Research Data Services</w:t>
            </w:r>
          </w:p>
        </w:tc>
      </w:tr>
    </w:tbl>
    <w:p w14:paraId="5EFE8C76">
      <w:r>
        <w:br w:type="page"/>
      </w:r>
    </w:p>
    <w:p w14:paraId="3C2ADE7E">
      <w:pPr>
        <w:spacing w:before="240" w:after="120" w:line="276" w:lineRule="auto"/>
        <w:jc w:val="left"/>
      </w:pPr>
      <w:r>
        <w:rPr>
          <w:rFonts w:ascii="Times New Roman" w:hAnsi="Times New Roman"/>
          <w:b/>
          <w:sz w:val="28"/>
        </w:rPr>
        <w:t>1. Introduction</w:t>
      </w:r>
    </w:p>
    <w:p w14:paraId="590AF171">
      <w:pPr>
        <w:spacing w:before="160" w:after="80" w:line="276" w:lineRule="auto"/>
        <w:jc w:val="left"/>
      </w:pPr>
      <w:r>
        <w:rPr>
          <w:rFonts w:ascii="Times New Roman" w:hAnsi="Times New Roman"/>
          <w:b/>
          <w:sz w:val="24"/>
        </w:rPr>
        <w:t>1.1 Research Background</w:t>
      </w:r>
    </w:p>
    <w:p w14:paraId="70292D32">
      <w:pPr>
        <w:spacing w:before="0" w:after="120" w:line="276" w:lineRule="auto"/>
        <w:ind w:firstLine="432"/>
      </w:pPr>
      <w:r>
        <w:rPr>
          <w:rFonts w:ascii="Times New Roman" w:hAnsi="Times New Roman"/>
          <w:b w:val="0"/>
          <w:i w:val="0"/>
          <w:sz w:val="24"/>
        </w:rPr>
        <w:t>The rapid development of artificial intelligence has created a new investment problem for financial markets. In the first stage of the AI boom, investor attention concentrated on semiconductor leaders and large technology platforms. However, the next stage of AI adoption depends increasingly on the physical infrastructure needed to deploy high-density computing. AI models require data centers, accelerators, networking equipment, power conversion systems, cooling equipment and reliable electricity supply. Therefore, the investment opportunity may gradually shift from first-order chip exposure to second-order beneficiaries in data center hardware, power equipment, cooling systems, grid services and power supply.</w:t>
      </w:r>
    </w:p>
    <w:p w14:paraId="0726080F">
      <w:pPr>
        <w:spacing w:before="0" w:after="120" w:line="276" w:lineRule="auto"/>
        <w:ind w:firstLine="432"/>
      </w:pPr>
      <w:r>
        <w:rPr>
          <w:rFonts w:ascii="Times New Roman" w:hAnsi="Times New Roman"/>
          <w:b w:val="0"/>
          <w:i w:val="0"/>
          <w:sz w:val="24"/>
        </w:rPr>
        <w:t>This report studies this theme through the idea of an AI data center power bottleneck trade. The central argument is that artificial intelligence is not only a software or semiconductor story. It is also an electricity and infrastructure story. If demand for AI computing continues to grow, firms that solve the physical constraints of AI deployment may benefit from stronger revenue growth, higher investor attention and medium-term market repricing.</w:t>
      </w:r>
    </w:p>
    <w:p w14:paraId="372F8FD9">
      <w:pPr>
        <w:spacing w:before="160" w:after="80" w:line="276" w:lineRule="auto"/>
        <w:jc w:val="left"/>
      </w:pPr>
      <w:r>
        <w:rPr>
          <w:rFonts w:ascii="Times New Roman" w:hAnsi="Times New Roman"/>
          <w:b/>
          <w:sz w:val="24"/>
        </w:rPr>
        <w:t>1.2 Research Objective and Contribution</w:t>
      </w:r>
    </w:p>
    <w:p w14:paraId="01FEF29B">
      <w:pPr>
        <w:spacing w:before="0" w:after="120" w:line="276" w:lineRule="auto"/>
        <w:ind w:firstLine="432"/>
      </w:pPr>
      <w:r>
        <w:rPr>
          <w:rFonts w:ascii="Times New Roman" w:hAnsi="Times New Roman"/>
          <w:b w:val="0"/>
          <w:i w:val="0"/>
          <w:sz w:val="24"/>
        </w:rPr>
        <w:t>The objective of this report is to design and critically evaluate a data-driven investment strategy based on AI infrastructure exposure. The empirical analysis uses the CRSP-Compustat dataset constructed in Python Assignment 1 and examined in Python Assignment 2. The sample covers 17 listed firms from January 2015 to December 2024, with 1,853 firm-month observations and 1,572 matched CRSP-Compustat observations. The company universe includes semiconductors, data center hardware, power/cooling/grid suppliers, data center REITs and power providers.</w:t>
      </w:r>
    </w:p>
    <w:p w14:paraId="57C68953">
      <w:pPr>
        <w:spacing w:before="0" w:after="120" w:line="276" w:lineRule="auto"/>
        <w:ind w:firstLine="432"/>
      </w:pPr>
      <w:r>
        <w:rPr>
          <w:rFonts w:ascii="Times New Roman" w:hAnsi="Times New Roman"/>
          <w:b w:val="0"/>
          <w:i w:val="0"/>
          <w:sz w:val="24"/>
        </w:rPr>
        <w:t>The contribution of this report is to move beyond a simple “buy AI stocks” argument. Instead, it proposes a selective strategy based on revenue growth, past stock momentum and direct exposure to AI infrastructure bottlenecks. This approach connects industry logic, financial theory and empirical evidence, while also recognizing important risks such as valuation crowding, capital expenditure uncertainty and limits to arbitrage.</w:t>
      </w:r>
    </w:p>
    <w:p w14:paraId="5130F339">
      <w:pPr>
        <w:spacing w:before="240" w:after="120" w:line="276" w:lineRule="auto"/>
        <w:jc w:val="left"/>
      </w:pPr>
      <w:r>
        <w:rPr>
          <w:rFonts w:ascii="Times New Roman" w:hAnsi="Times New Roman"/>
          <w:b/>
          <w:sz w:val="28"/>
        </w:rPr>
        <w:t>2. Industry Overview and Investment Thesis</w:t>
      </w:r>
    </w:p>
    <w:p w14:paraId="789ABF11">
      <w:pPr>
        <w:spacing w:before="160" w:after="80" w:line="276" w:lineRule="auto"/>
        <w:jc w:val="left"/>
      </w:pPr>
      <w:r>
        <w:rPr>
          <w:rFonts w:ascii="Times New Roman" w:hAnsi="Times New Roman"/>
          <w:b/>
          <w:sz w:val="24"/>
        </w:rPr>
        <w:t>2.1 AI Data Center Power Bottleneck</w:t>
      </w:r>
    </w:p>
    <w:p w14:paraId="33FBA183">
      <w:pPr>
        <w:spacing w:before="0" w:after="120" w:line="276" w:lineRule="auto"/>
        <w:ind w:firstLine="432"/>
      </w:pPr>
      <w:r>
        <w:rPr>
          <w:rFonts w:ascii="Times New Roman" w:hAnsi="Times New Roman"/>
          <w:b w:val="0"/>
          <w:i w:val="0"/>
          <w:sz w:val="24"/>
        </w:rPr>
        <w:t>Artificial intelligence has become an electricity-intensive industrial activity. Training and inference workloads require dense clusters of accelerators, memory, networking equipment, storage, power conversion equipment and cooling systems. The International Energy Agency argues that electricity demand is entering a structurally stronger growth phase through 2030, supported by data centers, AI, advanced manufacturing and broader electrification (IEA, 2026). JLL (2026) similarly describes a global data center supercycle in which AI and cloud demand are expected to drive capacity growth, construction cost inflation and a shift toward on-site power solutions.</w:t>
      </w:r>
    </w:p>
    <w:p w14:paraId="688F55C1">
      <w:pPr>
        <w:spacing w:before="0" w:after="120" w:line="276" w:lineRule="auto"/>
        <w:ind w:firstLine="432"/>
      </w:pPr>
      <w:r>
        <w:rPr>
          <w:rFonts w:ascii="Times New Roman" w:hAnsi="Times New Roman"/>
          <w:b w:val="0"/>
          <w:i w:val="0"/>
          <w:sz w:val="24"/>
        </w:rPr>
        <w:t>This creates a second-order investment theme. Semiconductor leaders such as Nvidia and Broadcom are obvious beneficiaries of AI demand, but the market may underappreciate the infrastructure suppliers that enable the deployment of those chips. Deloitte (2026a) notes that inference workloads are growing, but most computation is still likely to occur on expensive, power-hungry chips in large data centers. Deloitte (2026b) also highlights that next-generation AI racks can require much higher power density and cooling capability than traditional data center racks. These points support the idea that AI growth is constrained not only by model quality or chip supply, but also by electricity, thermal management and deployment speed.</w:t>
      </w:r>
    </w:p>
    <w:p w14:paraId="6BDFFB78">
      <w:pPr>
        <w:spacing w:before="160" w:after="80" w:line="276" w:lineRule="auto"/>
        <w:jc w:val="left"/>
      </w:pPr>
      <w:r>
        <w:rPr>
          <w:rFonts w:ascii="Times New Roman" w:hAnsi="Times New Roman"/>
          <w:b/>
          <w:sz w:val="24"/>
        </w:rPr>
        <w:t>2.2 Investment Universe</w:t>
      </w:r>
    </w:p>
    <w:p w14:paraId="5495A401">
      <w:pPr>
        <w:spacing w:before="0" w:after="120" w:line="276" w:lineRule="auto"/>
        <w:ind w:firstLine="432"/>
      </w:pPr>
      <w:r>
        <w:rPr>
          <w:rFonts w:ascii="Times New Roman" w:hAnsi="Times New Roman"/>
          <w:b w:val="0"/>
          <w:i w:val="0"/>
          <w:sz w:val="24"/>
        </w:rPr>
        <w:t>The investment universe is divided into five segments: semiconductors; data center hardware; power, cooling and grid infrastructure; data center REITs; and power providers. The key hypothesis is that firms closer to high-density AI infrastructure should earn superior medium-term returns when they show both fundamental demand confirmation and market momentum. However, this report does not assume that every AI-linked firm is attractive. The stronger claim is that the market may gradually reprice companies that turn AI infrastructure demand into revenue growth and visible order momentum.</w:t>
      </w:r>
    </w:p>
    <w:p w14:paraId="531F2421">
      <w:pPr>
        <w:spacing w:before="240" w:after="120" w:line="276" w:lineRule="auto"/>
        <w:jc w:val="left"/>
      </w:pPr>
      <w:r>
        <w:rPr>
          <w:rFonts w:ascii="Times New Roman" w:hAnsi="Times New Roman"/>
          <w:b/>
          <w:sz w:val="28"/>
        </w:rPr>
        <w:t>3. Data and Empirical Evidence</w:t>
      </w:r>
    </w:p>
    <w:p w14:paraId="6BB238AC">
      <w:pPr>
        <w:spacing w:before="160" w:after="80" w:line="276" w:lineRule="auto"/>
        <w:jc w:val="left"/>
      </w:pPr>
      <w:r>
        <w:rPr>
          <w:rFonts w:ascii="Times New Roman" w:hAnsi="Times New Roman"/>
          <w:b/>
          <w:sz w:val="24"/>
        </w:rPr>
        <w:t>3.1 Data and Variable Construction</w:t>
      </w:r>
    </w:p>
    <w:p w14:paraId="32030D97">
      <w:pPr>
        <w:spacing w:before="0" w:after="120" w:line="276" w:lineRule="auto"/>
        <w:ind w:firstLine="432"/>
      </w:pPr>
      <w:r>
        <w:rPr>
          <w:rFonts w:ascii="Times New Roman" w:hAnsi="Times New Roman"/>
          <w:b w:val="0"/>
          <w:i w:val="0"/>
          <w:sz w:val="24"/>
        </w:rPr>
        <w:t>The dataset is built from WRDS using CRSP monthly stock returns and Compustat annual fundamentals. CRSP provides stock returns, prices, shares outstanding and volume. Compustat provides sales, assets, capital expenditure, R&amp;D, operating profitability, debt and equity. A CRSP-Compustat link table is used to match the stock market identifier permno with the accounting identifier gvkey. To reduce look-ahead bias, accounting variables are treated as available only after a six-month reporting lag.</w:t>
      </w:r>
    </w:p>
    <w:p w14:paraId="0AA59373">
      <w:pPr>
        <w:spacing w:before="0" w:after="120" w:line="276" w:lineRule="auto"/>
        <w:ind w:firstLine="432"/>
      </w:pPr>
      <w:r>
        <w:rPr>
          <w:rFonts w:ascii="Times New Roman" w:hAnsi="Times New Roman"/>
          <w:b w:val="0"/>
          <w:i w:val="0"/>
          <w:sz w:val="24"/>
        </w:rPr>
        <w:t>The main constructed variables include revenue growth, capital expenditure intensity, R&amp;D intensity, profit margin, debt ratio, past 12-month stock return and future returns over one-month, six-month and twelve-month horizons. The one-month return regression is intentionally conservative, because monthly stock returns are noisy. The longer-horizon analysis is more suitable for a medium-term investment theme such as AI infrastructure.</w:t>
      </w:r>
    </w:p>
    <w:p w14:paraId="516F0027">
      <w:pPr>
        <w:spacing w:before="160" w:after="80" w:line="276" w:lineRule="auto"/>
        <w:jc w:val="left"/>
      </w:pPr>
      <w:r>
        <w:rPr>
          <w:rFonts w:ascii="Times New Roman" w:hAnsi="Times New Roman"/>
          <w:b/>
          <w:sz w:val="24"/>
        </w:rPr>
        <w:t>3.2 Segment-Level Performance</w:t>
      </w:r>
    </w:p>
    <w:tbl>
      <w:tblPr>
        <w:tblStyle w:val="3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32"/>
        <w:gridCol w:w="792"/>
        <w:gridCol w:w="792"/>
        <w:gridCol w:w="2160"/>
        <w:gridCol w:w="1800"/>
      </w:tblGrid>
      <w:tr w14:paraId="028FA15F">
        <w:trPr>
          <w:jc w:val="center"/>
        </w:trPr>
        <w:tc>
          <w:tcPr>
            <w:tcW w:w="2232" w:type="dxa"/>
            <w:shd w:val="clear" w:color="auto" w:fill="F2F2F2"/>
            <w:vAlign w:val="center"/>
          </w:tcPr>
          <w:p w14:paraId="3612A836">
            <w:pPr>
              <w:spacing w:before="0" w:after="0" w:line="240" w:lineRule="auto"/>
              <w:jc w:val="center"/>
            </w:pPr>
            <w:r>
              <w:rPr>
                <w:rFonts w:ascii="Times New Roman" w:hAnsi="Times New Roman"/>
                <w:b/>
                <w:sz w:val="18"/>
              </w:rPr>
              <w:t>Segment</w:t>
            </w:r>
          </w:p>
        </w:tc>
        <w:tc>
          <w:tcPr>
            <w:tcW w:w="792" w:type="dxa"/>
            <w:shd w:val="clear" w:color="auto" w:fill="F2F2F2"/>
            <w:vAlign w:val="center"/>
          </w:tcPr>
          <w:p w14:paraId="3121F75C">
            <w:pPr>
              <w:spacing w:before="0" w:after="0" w:line="240" w:lineRule="auto"/>
              <w:jc w:val="center"/>
            </w:pPr>
            <w:r>
              <w:rPr>
                <w:rFonts w:ascii="Times New Roman" w:hAnsi="Times New Roman"/>
                <w:b/>
                <w:sz w:val="18"/>
              </w:rPr>
              <w:t>Firms</w:t>
            </w:r>
          </w:p>
        </w:tc>
        <w:tc>
          <w:tcPr>
            <w:tcW w:w="792" w:type="dxa"/>
            <w:shd w:val="clear" w:color="auto" w:fill="F2F2F2"/>
            <w:vAlign w:val="center"/>
          </w:tcPr>
          <w:p w14:paraId="2240251A">
            <w:pPr>
              <w:spacing w:before="0" w:after="0" w:line="240" w:lineRule="auto"/>
              <w:jc w:val="center"/>
            </w:pPr>
            <w:r>
              <w:rPr>
                <w:rFonts w:ascii="Times New Roman" w:hAnsi="Times New Roman"/>
                <w:b/>
                <w:sz w:val="18"/>
              </w:rPr>
              <w:t>Obs.</w:t>
            </w:r>
          </w:p>
        </w:tc>
        <w:tc>
          <w:tcPr>
            <w:tcW w:w="2160" w:type="dxa"/>
            <w:shd w:val="clear" w:color="auto" w:fill="F2F2F2"/>
            <w:vAlign w:val="center"/>
          </w:tcPr>
          <w:p w14:paraId="679F1AA6">
            <w:pPr>
              <w:spacing w:before="0" w:after="0" w:line="240" w:lineRule="auto"/>
              <w:jc w:val="center"/>
            </w:pPr>
            <w:r>
              <w:rPr>
                <w:rFonts w:ascii="Times New Roman" w:hAnsi="Times New Roman"/>
                <w:b/>
                <w:sz w:val="18"/>
              </w:rPr>
              <w:t>Avg. future monthly return</w:t>
            </w:r>
          </w:p>
        </w:tc>
        <w:tc>
          <w:tcPr>
            <w:tcW w:w="1800" w:type="dxa"/>
            <w:shd w:val="clear" w:color="auto" w:fill="F2F2F2"/>
            <w:vAlign w:val="center"/>
          </w:tcPr>
          <w:p w14:paraId="18B5915C">
            <w:pPr>
              <w:spacing w:before="0" w:after="0" w:line="240" w:lineRule="auto"/>
              <w:jc w:val="center"/>
            </w:pPr>
            <w:r>
              <w:rPr>
                <w:rFonts w:ascii="Times New Roman" w:hAnsi="Times New Roman"/>
                <w:b/>
                <w:sz w:val="18"/>
              </w:rPr>
              <w:t>Monthly volatility</w:t>
            </w:r>
          </w:p>
        </w:tc>
      </w:tr>
      <w:tr w14:paraId="3FBA2B4E">
        <w:trPr>
          <w:jc w:val="center"/>
        </w:trPr>
        <w:tc>
          <w:tcPr>
            <w:tcW w:w="2232" w:type="dxa"/>
            <w:vAlign w:val="center"/>
          </w:tcPr>
          <w:p w14:paraId="5DC4DE86">
            <w:pPr>
              <w:spacing w:before="0" w:after="0" w:line="240" w:lineRule="auto"/>
              <w:jc w:val="center"/>
            </w:pPr>
            <w:r>
              <w:rPr>
                <w:rFonts w:ascii="Times New Roman" w:hAnsi="Times New Roman"/>
                <w:b w:val="0"/>
                <w:sz w:val="18"/>
              </w:rPr>
              <w:t>Data Center Hardware</w:t>
            </w:r>
          </w:p>
        </w:tc>
        <w:tc>
          <w:tcPr>
            <w:tcW w:w="792" w:type="dxa"/>
            <w:vAlign w:val="center"/>
          </w:tcPr>
          <w:p w14:paraId="36E1BE06">
            <w:pPr>
              <w:spacing w:before="0" w:after="0" w:line="240" w:lineRule="auto"/>
              <w:jc w:val="center"/>
            </w:pPr>
            <w:r>
              <w:rPr>
                <w:rFonts w:ascii="Times New Roman" w:hAnsi="Times New Roman"/>
                <w:b w:val="0"/>
                <w:sz w:val="18"/>
              </w:rPr>
              <w:t>2</w:t>
            </w:r>
          </w:p>
        </w:tc>
        <w:tc>
          <w:tcPr>
            <w:tcW w:w="792" w:type="dxa"/>
            <w:vAlign w:val="center"/>
          </w:tcPr>
          <w:p w14:paraId="08582C64">
            <w:pPr>
              <w:spacing w:before="0" w:after="0" w:line="240" w:lineRule="auto"/>
              <w:jc w:val="center"/>
            </w:pPr>
            <w:r>
              <w:rPr>
                <w:rFonts w:ascii="Times New Roman" w:hAnsi="Times New Roman"/>
                <w:b w:val="0"/>
                <w:sz w:val="18"/>
              </w:rPr>
              <w:t>212</w:t>
            </w:r>
          </w:p>
        </w:tc>
        <w:tc>
          <w:tcPr>
            <w:tcW w:w="2160" w:type="dxa"/>
            <w:vAlign w:val="center"/>
          </w:tcPr>
          <w:p w14:paraId="3B4EEE03">
            <w:pPr>
              <w:spacing w:before="0" w:after="0" w:line="240" w:lineRule="auto"/>
              <w:jc w:val="center"/>
            </w:pPr>
            <w:r>
              <w:rPr>
                <w:rFonts w:ascii="Times New Roman" w:hAnsi="Times New Roman"/>
                <w:b w:val="0"/>
                <w:sz w:val="18"/>
              </w:rPr>
              <w:t>4.10%</w:t>
            </w:r>
          </w:p>
        </w:tc>
        <w:tc>
          <w:tcPr>
            <w:tcW w:w="1800" w:type="dxa"/>
            <w:vAlign w:val="center"/>
          </w:tcPr>
          <w:p w14:paraId="5D52BB5F">
            <w:pPr>
              <w:spacing w:before="0" w:after="0" w:line="240" w:lineRule="auto"/>
              <w:jc w:val="center"/>
            </w:pPr>
            <w:r>
              <w:rPr>
                <w:rFonts w:ascii="Times New Roman" w:hAnsi="Times New Roman"/>
                <w:b w:val="0"/>
                <w:sz w:val="18"/>
              </w:rPr>
              <w:t>16.55%</w:t>
            </w:r>
          </w:p>
        </w:tc>
      </w:tr>
      <w:tr w14:paraId="72525B5C">
        <w:trPr>
          <w:jc w:val="center"/>
        </w:trPr>
        <w:tc>
          <w:tcPr>
            <w:tcW w:w="2232" w:type="dxa"/>
            <w:vAlign w:val="center"/>
          </w:tcPr>
          <w:p w14:paraId="0BDBFB3A">
            <w:pPr>
              <w:spacing w:before="0" w:after="0" w:line="240" w:lineRule="auto"/>
              <w:jc w:val="center"/>
            </w:pPr>
            <w:r>
              <w:rPr>
                <w:rFonts w:ascii="Times New Roman" w:hAnsi="Times New Roman"/>
                <w:b w:val="0"/>
                <w:sz w:val="18"/>
              </w:rPr>
              <w:t>Semiconductors</w:t>
            </w:r>
          </w:p>
        </w:tc>
        <w:tc>
          <w:tcPr>
            <w:tcW w:w="792" w:type="dxa"/>
            <w:vAlign w:val="center"/>
          </w:tcPr>
          <w:p w14:paraId="5CADCB5B">
            <w:pPr>
              <w:spacing w:before="0" w:after="0" w:line="240" w:lineRule="auto"/>
              <w:jc w:val="center"/>
            </w:pPr>
            <w:r>
              <w:rPr>
                <w:rFonts w:ascii="Times New Roman" w:hAnsi="Times New Roman"/>
                <w:b w:val="0"/>
                <w:sz w:val="18"/>
              </w:rPr>
              <w:t>6</w:t>
            </w:r>
          </w:p>
        </w:tc>
        <w:tc>
          <w:tcPr>
            <w:tcW w:w="792" w:type="dxa"/>
            <w:vAlign w:val="center"/>
          </w:tcPr>
          <w:p w14:paraId="50F40508">
            <w:pPr>
              <w:spacing w:before="0" w:after="0" w:line="240" w:lineRule="auto"/>
              <w:jc w:val="center"/>
            </w:pPr>
            <w:r>
              <w:rPr>
                <w:rFonts w:ascii="Times New Roman" w:hAnsi="Times New Roman"/>
                <w:b w:val="0"/>
                <w:sz w:val="18"/>
              </w:rPr>
              <w:t>637</w:t>
            </w:r>
          </w:p>
        </w:tc>
        <w:tc>
          <w:tcPr>
            <w:tcW w:w="2160" w:type="dxa"/>
            <w:vAlign w:val="center"/>
          </w:tcPr>
          <w:p w14:paraId="46BF4A7A">
            <w:pPr>
              <w:spacing w:before="0" w:after="0" w:line="240" w:lineRule="auto"/>
              <w:jc w:val="center"/>
            </w:pPr>
            <w:r>
              <w:rPr>
                <w:rFonts w:ascii="Times New Roman" w:hAnsi="Times New Roman"/>
                <w:b w:val="0"/>
                <w:sz w:val="18"/>
              </w:rPr>
              <w:t>3.10%</w:t>
            </w:r>
          </w:p>
        </w:tc>
        <w:tc>
          <w:tcPr>
            <w:tcW w:w="1800" w:type="dxa"/>
            <w:vAlign w:val="center"/>
          </w:tcPr>
          <w:p w14:paraId="125F5CF2">
            <w:pPr>
              <w:spacing w:before="0" w:after="0" w:line="240" w:lineRule="auto"/>
              <w:jc w:val="center"/>
            </w:pPr>
            <w:r>
              <w:rPr>
                <w:rFonts w:ascii="Times New Roman" w:hAnsi="Times New Roman"/>
                <w:b w:val="0"/>
                <w:sz w:val="18"/>
              </w:rPr>
              <w:t>12.13%</w:t>
            </w:r>
          </w:p>
        </w:tc>
      </w:tr>
      <w:tr w14:paraId="1605CF95">
        <w:trPr>
          <w:jc w:val="center"/>
        </w:trPr>
        <w:tc>
          <w:tcPr>
            <w:tcW w:w="2232" w:type="dxa"/>
            <w:vAlign w:val="center"/>
          </w:tcPr>
          <w:p w14:paraId="5A476F1C">
            <w:pPr>
              <w:spacing w:before="0" w:after="0" w:line="240" w:lineRule="auto"/>
              <w:jc w:val="center"/>
            </w:pPr>
            <w:r>
              <w:rPr>
                <w:rFonts w:ascii="Times New Roman" w:hAnsi="Times New Roman"/>
                <w:b w:val="0"/>
                <w:sz w:val="18"/>
              </w:rPr>
              <w:t>Power/Cooling/Grid</w:t>
            </w:r>
          </w:p>
        </w:tc>
        <w:tc>
          <w:tcPr>
            <w:tcW w:w="792" w:type="dxa"/>
            <w:vAlign w:val="center"/>
          </w:tcPr>
          <w:p w14:paraId="20DDEAE0">
            <w:pPr>
              <w:spacing w:before="0" w:after="0" w:line="240" w:lineRule="auto"/>
              <w:jc w:val="center"/>
            </w:pPr>
            <w:r>
              <w:rPr>
                <w:rFonts w:ascii="Times New Roman" w:hAnsi="Times New Roman"/>
                <w:b w:val="0"/>
                <w:sz w:val="18"/>
              </w:rPr>
              <w:t>5</w:t>
            </w:r>
          </w:p>
        </w:tc>
        <w:tc>
          <w:tcPr>
            <w:tcW w:w="792" w:type="dxa"/>
            <w:vAlign w:val="center"/>
          </w:tcPr>
          <w:p w14:paraId="0B0AE21E">
            <w:pPr>
              <w:spacing w:before="0" w:after="0" w:line="240" w:lineRule="auto"/>
              <w:jc w:val="center"/>
            </w:pPr>
            <w:r>
              <w:rPr>
                <w:rFonts w:ascii="Times New Roman" w:hAnsi="Times New Roman"/>
                <w:b w:val="0"/>
                <w:sz w:val="18"/>
              </w:rPr>
              <w:t>395</w:t>
            </w:r>
          </w:p>
        </w:tc>
        <w:tc>
          <w:tcPr>
            <w:tcW w:w="2160" w:type="dxa"/>
            <w:vAlign w:val="center"/>
          </w:tcPr>
          <w:p w14:paraId="2025890A">
            <w:pPr>
              <w:spacing w:before="0" w:after="0" w:line="240" w:lineRule="auto"/>
              <w:jc w:val="center"/>
            </w:pPr>
            <w:r>
              <w:rPr>
                <w:rFonts w:ascii="Times New Roman" w:hAnsi="Times New Roman"/>
                <w:b w:val="0"/>
                <w:sz w:val="18"/>
              </w:rPr>
              <w:t>2.14%</w:t>
            </w:r>
          </w:p>
        </w:tc>
        <w:tc>
          <w:tcPr>
            <w:tcW w:w="1800" w:type="dxa"/>
            <w:vAlign w:val="center"/>
          </w:tcPr>
          <w:p w14:paraId="0FF86B8E">
            <w:pPr>
              <w:spacing w:before="0" w:after="0" w:line="240" w:lineRule="auto"/>
              <w:jc w:val="center"/>
            </w:pPr>
            <w:r>
              <w:rPr>
                <w:rFonts w:ascii="Times New Roman" w:hAnsi="Times New Roman"/>
                <w:b w:val="0"/>
                <w:sz w:val="18"/>
              </w:rPr>
              <w:t>10.45%</w:t>
            </w:r>
          </w:p>
        </w:tc>
      </w:tr>
      <w:tr w14:paraId="4DFFB39A">
        <w:trPr>
          <w:jc w:val="center"/>
        </w:trPr>
        <w:tc>
          <w:tcPr>
            <w:tcW w:w="2232" w:type="dxa"/>
            <w:vAlign w:val="center"/>
          </w:tcPr>
          <w:p w14:paraId="23D7C2F0">
            <w:pPr>
              <w:spacing w:before="0" w:after="0" w:line="240" w:lineRule="auto"/>
              <w:jc w:val="center"/>
            </w:pPr>
            <w:r>
              <w:rPr>
                <w:rFonts w:ascii="Times New Roman" w:hAnsi="Times New Roman"/>
                <w:b w:val="0"/>
                <w:sz w:val="18"/>
              </w:rPr>
              <w:t>Power Providers</w:t>
            </w:r>
          </w:p>
        </w:tc>
        <w:tc>
          <w:tcPr>
            <w:tcW w:w="792" w:type="dxa"/>
            <w:vAlign w:val="center"/>
          </w:tcPr>
          <w:p w14:paraId="6F85473D">
            <w:pPr>
              <w:spacing w:before="0" w:after="0" w:line="240" w:lineRule="auto"/>
              <w:jc w:val="center"/>
            </w:pPr>
            <w:r>
              <w:rPr>
                <w:rFonts w:ascii="Times New Roman" w:hAnsi="Times New Roman"/>
                <w:b w:val="0"/>
                <w:sz w:val="18"/>
              </w:rPr>
              <w:t>2</w:t>
            </w:r>
          </w:p>
        </w:tc>
        <w:tc>
          <w:tcPr>
            <w:tcW w:w="792" w:type="dxa"/>
            <w:vAlign w:val="center"/>
          </w:tcPr>
          <w:p w14:paraId="14CF78F1">
            <w:pPr>
              <w:spacing w:before="0" w:after="0" w:line="240" w:lineRule="auto"/>
              <w:jc w:val="center"/>
            </w:pPr>
            <w:r>
              <w:rPr>
                <w:rFonts w:ascii="Times New Roman" w:hAnsi="Times New Roman"/>
                <w:b w:val="0"/>
                <w:sz w:val="18"/>
              </w:rPr>
              <w:t>122</w:t>
            </w:r>
          </w:p>
        </w:tc>
        <w:tc>
          <w:tcPr>
            <w:tcW w:w="2160" w:type="dxa"/>
            <w:vAlign w:val="center"/>
          </w:tcPr>
          <w:p w14:paraId="42505130">
            <w:pPr>
              <w:spacing w:before="0" w:after="0" w:line="240" w:lineRule="auto"/>
              <w:jc w:val="center"/>
            </w:pPr>
            <w:r>
              <w:rPr>
                <w:rFonts w:ascii="Times New Roman" w:hAnsi="Times New Roman"/>
                <w:b w:val="0"/>
                <w:sz w:val="18"/>
              </w:rPr>
              <w:t>1.88%</w:t>
            </w:r>
          </w:p>
        </w:tc>
        <w:tc>
          <w:tcPr>
            <w:tcW w:w="1800" w:type="dxa"/>
            <w:vAlign w:val="center"/>
          </w:tcPr>
          <w:p w14:paraId="0001659F">
            <w:pPr>
              <w:spacing w:before="0" w:after="0" w:line="240" w:lineRule="auto"/>
              <w:jc w:val="center"/>
            </w:pPr>
            <w:r>
              <w:rPr>
                <w:rFonts w:ascii="Times New Roman" w:hAnsi="Times New Roman"/>
                <w:b w:val="0"/>
                <w:sz w:val="18"/>
              </w:rPr>
              <w:t>7.75%</w:t>
            </w:r>
          </w:p>
        </w:tc>
      </w:tr>
      <w:tr w14:paraId="324D6147">
        <w:trPr>
          <w:jc w:val="center"/>
        </w:trPr>
        <w:tc>
          <w:tcPr>
            <w:tcW w:w="2232" w:type="dxa"/>
            <w:vAlign w:val="center"/>
          </w:tcPr>
          <w:p w14:paraId="6C42CEFE">
            <w:pPr>
              <w:spacing w:before="0" w:after="0" w:line="240" w:lineRule="auto"/>
              <w:jc w:val="center"/>
            </w:pPr>
            <w:r>
              <w:rPr>
                <w:rFonts w:ascii="Times New Roman" w:hAnsi="Times New Roman"/>
                <w:b w:val="0"/>
                <w:sz w:val="18"/>
              </w:rPr>
              <w:t>Data Center REITs</w:t>
            </w:r>
          </w:p>
        </w:tc>
        <w:tc>
          <w:tcPr>
            <w:tcW w:w="792" w:type="dxa"/>
            <w:vAlign w:val="center"/>
          </w:tcPr>
          <w:p w14:paraId="34FE51C8">
            <w:pPr>
              <w:spacing w:before="0" w:after="0" w:line="240" w:lineRule="auto"/>
              <w:jc w:val="center"/>
            </w:pPr>
            <w:r>
              <w:rPr>
                <w:rFonts w:ascii="Times New Roman" w:hAnsi="Times New Roman"/>
                <w:b w:val="0"/>
                <w:sz w:val="18"/>
              </w:rPr>
              <w:t>2</w:t>
            </w:r>
          </w:p>
        </w:tc>
        <w:tc>
          <w:tcPr>
            <w:tcW w:w="792" w:type="dxa"/>
            <w:vAlign w:val="center"/>
          </w:tcPr>
          <w:p w14:paraId="339BD39A">
            <w:pPr>
              <w:spacing w:before="0" w:after="0" w:line="240" w:lineRule="auto"/>
              <w:jc w:val="center"/>
            </w:pPr>
            <w:r>
              <w:rPr>
                <w:rFonts w:ascii="Times New Roman" w:hAnsi="Times New Roman"/>
                <w:b w:val="0"/>
                <w:sz w:val="18"/>
              </w:rPr>
              <w:t>206</w:t>
            </w:r>
          </w:p>
        </w:tc>
        <w:tc>
          <w:tcPr>
            <w:tcW w:w="2160" w:type="dxa"/>
            <w:vAlign w:val="center"/>
          </w:tcPr>
          <w:p w14:paraId="3FDA351D">
            <w:pPr>
              <w:spacing w:before="0" w:after="0" w:line="240" w:lineRule="auto"/>
              <w:jc w:val="center"/>
            </w:pPr>
            <w:r>
              <w:rPr>
                <w:rFonts w:ascii="Times New Roman" w:hAnsi="Times New Roman"/>
                <w:b w:val="0"/>
                <w:sz w:val="18"/>
              </w:rPr>
              <w:t>1.11%</w:t>
            </w:r>
          </w:p>
        </w:tc>
        <w:tc>
          <w:tcPr>
            <w:tcW w:w="1800" w:type="dxa"/>
            <w:vAlign w:val="center"/>
          </w:tcPr>
          <w:p w14:paraId="31ED3B75">
            <w:pPr>
              <w:spacing w:before="0" w:after="0" w:line="240" w:lineRule="auto"/>
              <w:jc w:val="center"/>
            </w:pPr>
            <w:r>
              <w:rPr>
                <w:rFonts w:ascii="Times New Roman" w:hAnsi="Times New Roman"/>
                <w:b w:val="0"/>
                <w:sz w:val="18"/>
              </w:rPr>
              <w:t>6.55%</w:t>
            </w:r>
          </w:p>
        </w:tc>
      </w:tr>
    </w:tbl>
    <w:p w14:paraId="6480EF4A">
      <w:pPr>
        <w:spacing w:before="40" w:after="160" w:line="240" w:lineRule="auto"/>
        <w:jc w:val="center"/>
      </w:pPr>
      <w:r>
        <w:rPr>
          <w:rFonts w:ascii="Times New Roman" w:hAnsi="Times New Roman"/>
          <w:i/>
          <w:sz w:val="20"/>
        </w:rPr>
        <w:t>Table 1. Segment-level CRSP-Compustat sample summary, 2015-2024.</w:t>
      </w:r>
    </w:p>
    <w:p w14:paraId="641E5D7B">
      <w:pPr>
        <w:jc w:val="center"/>
      </w:pPr>
      <w:r>
        <w:drawing>
          <wp:inline distT="0" distB="0" distL="114300" distR="114300">
            <wp:extent cx="5120640" cy="3025775"/>
            <wp:effectExtent l="0" t="0" r="1016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3025833"/>
                    </a:xfrm>
                    <a:prstGeom prst="rect">
                      <a:avLst/>
                    </a:prstGeom>
                  </pic:spPr>
                </pic:pic>
              </a:graphicData>
            </a:graphic>
          </wp:inline>
        </w:drawing>
      </w:r>
    </w:p>
    <w:p w14:paraId="298EEE5B">
      <w:pPr>
        <w:spacing w:before="40" w:after="160" w:line="240" w:lineRule="auto"/>
        <w:jc w:val="center"/>
      </w:pPr>
      <w:r>
        <w:rPr>
          <w:rFonts w:ascii="Times New Roman" w:hAnsi="Times New Roman"/>
          <w:i/>
          <w:sz w:val="20"/>
        </w:rPr>
        <w:t>Figure 1. Average one-month-ahead return by AI infrastructure segment.</w:t>
      </w:r>
    </w:p>
    <w:p w14:paraId="09F159AA">
      <w:pPr>
        <w:spacing w:before="0" w:after="120" w:line="276" w:lineRule="auto"/>
        <w:ind w:firstLine="432"/>
      </w:pPr>
      <w:r>
        <w:rPr>
          <w:rFonts w:ascii="Times New Roman" w:hAnsi="Times New Roman"/>
          <w:b w:val="0"/>
          <w:i w:val="0"/>
          <w:sz w:val="24"/>
        </w:rPr>
        <w:t>The segment evidence is intuitive. Data center hardware firms show the highest average one-month-ahead return, about 4.1%, followed by semiconductors at about 3.1%. Power, cooling and grid infrastructure firms also show positive returns, though lower than hardware and semiconductors. Data center REITs and power providers appear less explosive, which is consistent with their more regulated, capital-intensive or real-asset profiles. This ranking supports the thesis that the market rewards firms closest to the direct AI infrastructure buildout, but it also suggests that the theme contains different risk-return profiles rather than a single homogeneous AI trade.</w:t>
      </w:r>
    </w:p>
    <w:p w14:paraId="74F255EF">
      <w:pPr>
        <w:spacing w:before="160" w:after="80" w:line="276" w:lineRule="auto"/>
        <w:jc w:val="left"/>
      </w:pPr>
      <w:r>
        <w:rPr>
          <w:rFonts w:ascii="Times New Roman" w:hAnsi="Times New Roman"/>
          <w:b/>
          <w:sz w:val="24"/>
        </w:rPr>
        <w:t>3.3 Regression and Portfolio Sort Evidence</w:t>
      </w:r>
    </w:p>
    <w:p w14:paraId="01201938">
      <w:pPr>
        <w:spacing w:before="0" w:after="120" w:line="276" w:lineRule="auto"/>
        <w:ind w:firstLine="432"/>
      </w:pPr>
      <w:r>
        <w:rPr>
          <w:rFonts w:ascii="Times New Roman" w:hAnsi="Times New Roman"/>
          <w:b w:val="0"/>
          <w:i w:val="0"/>
          <w:sz w:val="24"/>
        </w:rPr>
        <w:t>The baseline one-month predictive regression produces weak results. This is not surprising because monthly stock returns reflect market-wide shocks, liquidity conditions and short-term sentiment. The more relevant tests use 12-month forward returns. In that specification, revenue growth is positively related to future returns, while past 12-month return is also positive. Capital expenditure intensity and profit margin enter negatively in the full regression, which is important: spending more on capital projects is not automatically rewarded if it raises execution risk or if the market has already priced in profitable incumbency.</w:t>
      </w:r>
    </w:p>
    <w:tbl>
      <w:tblPr>
        <w:tblStyle w:val="3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3024"/>
        <w:gridCol w:w="1440"/>
        <w:gridCol w:w="1440"/>
        <w:gridCol w:w="1224"/>
      </w:tblGrid>
      <w:tr w14:paraId="4D56985B">
        <w:trPr>
          <w:jc w:val="center"/>
        </w:trPr>
        <w:tc>
          <w:tcPr>
            <w:tcW w:w="3024" w:type="dxa"/>
            <w:shd w:val="clear" w:color="auto" w:fill="F2F2F2"/>
            <w:vAlign w:val="center"/>
          </w:tcPr>
          <w:p w14:paraId="56741874">
            <w:pPr>
              <w:spacing w:before="0" w:after="0" w:line="240" w:lineRule="auto"/>
              <w:jc w:val="center"/>
            </w:pPr>
            <w:r>
              <w:rPr>
                <w:rFonts w:ascii="Times New Roman" w:hAnsi="Times New Roman"/>
                <w:b/>
                <w:sz w:val="18"/>
              </w:rPr>
              <w:t>Predictor</w:t>
            </w:r>
          </w:p>
        </w:tc>
        <w:tc>
          <w:tcPr>
            <w:tcW w:w="1440" w:type="dxa"/>
            <w:shd w:val="clear" w:color="auto" w:fill="F2F2F2"/>
            <w:vAlign w:val="center"/>
          </w:tcPr>
          <w:p w14:paraId="238C5CC4">
            <w:pPr>
              <w:spacing w:before="0" w:after="0" w:line="240" w:lineRule="auto"/>
              <w:jc w:val="center"/>
            </w:pPr>
            <w:r>
              <w:rPr>
                <w:rFonts w:ascii="Times New Roman" w:hAnsi="Times New Roman"/>
                <w:b/>
                <w:sz w:val="18"/>
              </w:rPr>
              <w:t>Coefficient</w:t>
            </w:r>
          </w:p>
        </w:tc>
        <w:tc>
          <w:tcPr>
            <w:tcW w:w="1440" w:type="dxa"/>
            <w:shd w:val="clear" w:color="auto" w:fill="F2F2F2"/>
            <w:vAlign w:val="center"/>
          </w:tcPr>
          <w:p w14:paraId="2C7B9F87">
            <w:pPr>
              <w:spacing w:before="0" w:after="0" w:line="240" w:lineRule="auto"/>
              <w:jc w:val="center"/>
            </w:pPr>
            <w:r>
              <w:rPr>
                <w:rFonts w:ascii="Times New Roman" w:hAnsi="Times New Roman"/>
                <w:b/>
                <w:sz w:val="18"/>
              </w:rPr>
              <w:t>Robust t-stat</w:t>
            </w:r>
          </w:p>
        </w:tc>
        <w:tc>
          <w:tcPr>
            <w:tcW w:w="1224" w:type="dxa"/>
            <w:shd w:val="clear" w:color="auto" w:fill="F2F2F2"/>
            <w:vAlign w:val="center"/>
          </w:tcPr>
          <w:p w14:paraId="017A3331">
            <w:pPr>
              <w:spacing w:before="0" w:after="0" w:line="240" w:lineRule="auto"/>
              <w:jc w:val="center"/>
            </w:pPr>
            <w:r>
              <w:rPr>
                <w:rFonts w:ascii="Times New Roman" w:hAnsi="Times New Roman"/>
                <w:b/>
                <w:sz w:val="18"/>
              </w:rPr>
              <w:t>p-value</w:t>
            </w:r>
          </w:p>
        </w:tc>
      </w:tr>
      <w:tr w14:paraId="1670AC9A">
        <w:trPr>
          <w:jc w:val="center"/>
        </w:trPr>
        <w:tc>
          <w:tcPr>
            <w:tcW w:w="3024" w:type="dxa"/>
            <w:vAlign w:val="center"/>
          </w:tcPr>
          <w:p w14:paraId="41145BD2">
            <w:pPr>
              <w:spacing w:before="0" w:after="0" w:line="240" w:lineRule="auto"/>
              <w:jc w:val="center"/>
            </w:pPr>
            <w:r>
              <w:rPr>
                <w:rFonts w:ascii="Times New Roman" w:hAnsi="Times New Roman"/>
                <w:b w:val="0"/>
                <w:sz w:val="18"/>
              </w:rPr>
              <w:t>revenue growth</w:t>
            </w:r>
          </w:p>
        </w:tc>
        <w:tc>
          <w:tcPr>
            <w:tcW w:w="1440" w:type="dxa"/>
            <w:vAlign w:val="center"/>
          </w:tcPr>
          <w:p w14:paraId="67F69F6C">
            <w:pPr>
              <w:spacing w:before="0" w:after="0" w:line="240" w:lineRule="auto"/>
              <w:jc w:val="center"/>
            </w:pPr>
            <w:r>
              <w:rPr>
                <w:rFonts w:ascii="Times New Roman" w:hAnsi="Times New Roman"/>
                <w:b w:val="0"/>
                <w:sz w:val="18"/>
              </w:rPr>
              <w:t>0.344</w:t>
            </w:r>
          </w:p>
        </w:tc>
        <w:tc>
          <w:tcPr>
            <w:tcW w:w="1440" w:type="dxa"/>
            <w:vAlign w:val="center"/>
          </w:tcPr>
          <w:p w14:paraId="6A074EE1">
            <w:pPr>
              <w:spacing w:before="0" w:after="0" w:line="240" w:lineRule="auto"/>
              <w:jc w:val="center"/>
            </w:pPr>
            <w:r>
              <w:rPr>
                <w:rFonts w:ascii="Times New Roman" w:hAnsi="Times New Roman"/>
                <w:b w:val="0"/>
                <w:sz w:val="18"/>
              </w:rPr>
              <w:t>3.21</w:t>
            </w:r>
          </w:p>
        </w:tc>
        <w:tc>
          <w:tcPr>
            <w:tcW w:w="1224" w:type="dxa"/>
            <w:vAlign w:val="center"/>
          </w:tcPr>
          <w:p w14:paraId="78171C24">
            <w:pPr>
              <w:spacing w:before="0" w:after="0" w:line="240" w:lineRule="auto"/>
              <w:jc w:val="center"/>
            </w:pPr>
            <w:r>
              <w:rPr>
                <w:rFonts w:ascii="Times New Roman" w:hAnsi="Times New Roman"/>
                <w:b w:val="0"/>
                <w:sz w:val="18"/>
              </w:rPr>
              <w:t>0.001</w:t>
            </w:r>
          </w:p>
        </w:tc>
      </w:tr>
      <w:tr w14:paraId="2B0EA510">
        <w:trPr>
          <w:jc w:val="center"/>
        </w:trPr>
        <w:tc>
          <w:tcPr>
            <w:tcW w:w="3024" w:type="dxa"/>
            <w:vAlign w:val="center"/>
          </w:tcPr>
          <w:p w14:paraId="14F003C7">
            <w:pPr>
              <w:spacing w:before="0" w:after="0" w:line="240" w:lineRule="auto"/>
              <w:jc w:val="center"/>
            </w:pPr>
            <w:r>
              <w:rPr>
                <w:rFonts w:ascii="Times New Roman" w:hAnsi="Times New Roman"/>
                <w:b w:val="0"/>
                <w:sz w:val="18"/>
              </w:rPr>
              <w:t>capex intensity</w:t>
            </w:r>
          </w:p>
        </w:tc>
        <w:tc>
          <w:tcPr>
            <w:tcW w:w="1440" w:type="dxa"/>
            <w:vAlign w:val="center"/>
          </w:tcPr>
          <w:p w14:paraId="01E509EA">
            <w:pPr>
              <w:spacing w:before="0" w:after="0" w:line="240" w:lineRule="auto"/>
              <w:jc w:val="center"/>
            </w:pPr>
            <w:r>
              <w:rPr>
                <w:rFonts w:ascii="Times New Roman" w:hAnsi="Times New Roman"/>
                <w:b w:val="0"/>
                <w:sz w:val="18"/>
              </w:rPr>
              <w:t>-1.151</w:t>
            </w:r>
          </w:p>
        </w:tc>
        <w:tc>
          <w:tcPr>
            <w:tcW w:w="1440" w:type="dxa"/>
            <w:vAlign w:val="center"/>
          </w:tcPr>
          <w:p w14:paraId="606820A7">
            <w:pPr>
              <w:spacing w:before="0" w:after="0" w:line="240" w:lineRule="auto"/>
              <w:jc w:val="center"/>
            </w:pPr>
            <w:r>
              <w:rPr>
                <w:rFonts w:ascii="Times New Roman" w:hAnsi="Times New Roman"/>
                <w:b w:val="0"/>
                <w:sz w:val="18"/>
              </w:rPr>
              <w:t>-3.27</w:t>
            </w:r>
          </w:p>
        </w:tc>
        <w:tc>
          <w:tcPr>
            <w:tcW w:w="1224" w:type="dxa"/>
            <w:vAlign w:val="center"/>
          </w:tcPr>
          <w:p w14:paraId="0120F3FC">
            <w:pPr>
              <w:spacing w:before="0" w:after="0" w:line="240" w:lineRule="auto"/>
              <w:jc w:val="center"/>
            </w:pPr>
            <w:r>
              <w:rPr>
                <w:rFonts w:ascii="Times New Roman" w:hAnsi="Times New Roman"/>
                <w:b w:val="0"/>
                <w:sz w:val="18"/>
              </w:rPr>
              <w:t>0.001</w:t>
            </w:r>
          </w:p>
        </w:tc>
      </w:tr>
      <w:tr w14:paraId="546335B1">
        <w:trPr>
          <w:jc w:val="center"/>
        </w:trPr>
        <w:tc>
          <w:tcPr>
            <w:tcW w:w="3024" w:type="dxa"/>
            <w:vAlign w:val="center"/>
          </w:tcPr>
          <w:p w14:paraId="1FC9D012">
            <w:pPr>
              <w:spacing w:before="0" w:after="0" w:line="240" w:lineRule="auto"/>
              <w:jc w:val="center"/>
            </w:pPr>
            <w:r>
              <w:rPr>
                <w:rFonts w:ascii="Times New Roman" w:hAnsi="Times New Roman"/>
                <w:b w:val="0"/>
                <w:sz w:val="18"/>
              </w:rPr>
              <w:t>profit margin</w:t>
            </w:r>
          </w:p>
        </w:tc>
        <w:tc>
          <w:tcPr>
            <w:tcW w:w="1440" w:type="dxa"/>
            <w:vAlign w:val="center"/>
          </w:tcPr>
          <w:p w14:paraId="7BFBEC59">
            <w:pPr>
              <w:spacing w:before="0" w:after="0" w:line="240" w:lineRule="auto"/>
              <w:jc w:val="center"/>
            </w:pPr>
            <w:r>
              <w:rPr>
                <w:rFonts w:ascii="Times New Roman" w:hAnsi="Times New Roman"/>
                <w:b w:val="0"/>
                <w:sz w:val="18"/>
              </w:rPr>
              <w:t>-0.769</w:t>
            </w:r>
          </w:p>
        </w:tc>
        <w:tc>
          <w:tcPr>
            <w:tcW w:w="1440" w:type="dxa"/>
            <w:vAlign w:val="center"/>
          </w:tcPr>
          <w:p w14:paraId="00F348EA">
            <w:pPr>
              <w:spacing w:before="0" w:after="0" w:line="240" w:lineRule="auto"/>
              <w:jc w:val="center"/>
            </w:pPr>
            <w:r>
              <w:rPr>
                <w:rFonts w:ascii="Times New Roman" w:hAnsi="Times New Roman"/>
                <w:b w:val="0"/>
                <w:sz w:val="18"/>
              </w:rPr>
              <w:t>-4.87</w:t>
            </w:r>
          </w:p>
        </w:tc>
        <w:tc>
          <w:tcPr>
            <w:tcW w:w="1224" w:type="dxa"/>
            <w:vAlign w:val="center"/>
          </w:tcPr>
          <w:p w14:paraId="257CF047">
            <w:pPr>
              <w:spacing w:before="0" w:after="0" w:line="240" w:lineRule="auto"/>
              <w:jc w:val="center"/>
            </w:pPr>
            <w:r>
              <w:rPr>
                <w:rFonts w:ascii="Times New Roman" w:hAnsi="Times New Roman"/>
                <w:b w:val="0"/>
                <w:sz w:val="18"/>
              </w:rPr>
              <w:t>0.000</w:t>
            </w:r>
          </w:p>
        </w:tc>
      </w:tr>
      <w:tr w14:paraId="0B749A48">
        <w:trPr>
          <w:jc w:val="center"/>
        </w:trPr>
        <w:tc>
          <w:tcPr>
            <w:tcW w:w="3024" w:type="dxa"/>
            <w:vAlign w:val="center"/>
          </w:tcPr>
          <w:p w14:paraId="5E903C49">
            <w:pPr>
              <w:spacing w:before="0" w:after="0" w:line="240" w:lineRule="auto"/>
              <w:jc w:val="center"/>
            </w:pPr>
            <w:r>
              <w:rPr>
                <w:rFonts w:ascii="Times New Roman" w:hAnsi="Times New Roman"/>
                <w:b w:val="0"/>
                <w:sz w:val="18"/>
              </w:rPr>
              <w:t>debt ratio</w:t>
            </w:r>
          </w:p>
        </w:tc>
        <w:tc>
          <w:tcPr>
            <w:tcW w:w="1440" w:type="dxa"/>
            <w:vAlign w:val="center"/>
          </w:tcPr>
          <w:p w14:paraId="4F784019">
            <w:pPr>
              <w:spacing w:before="0" w:after="0" w:line="240" w:lineRule="auto"/>
              <w:jc w:val="center"/>
            </w:pPr>
            <w:r>
              <w:rPr>
                <w:rFonts w:ascii="Times New Roman" w:hAnsi="Times New Roman"/>
                <w:b w:val="0"/>
                <w:sz w:val="18"/>
              </w:rPr>
              <w:t>0.045</w:t>
            </w:r>
          </w:p>
        </w:tc>
        <w:tc>
          <w:tcPr>
            <w:tcW w:w="1440" w:type="dxa"/>
            <w:vAlign w:val="center"/>
          </w:tcPr>
          <w:p w14:paraId="22AB481E">
            <w:pPr>
              <w:spacing w:before="0" w:after="0" w:line="240" w:lineRule="auto"/>
              <w:jc w:val="center"/>
            </w:pPr>
            <w:r>
              <w:rPr>
                <w:rFonts w:ascii="Times New Roman" w:hAnsi="Times New Roman"/>
                <w:b w:val="0"/>
                <w:sz w:val="18"/>
              </w:rPr>
              <w:t>0.35</w:t>
            </w:r>
          </w:p>
        </w:tc>
        <w:tc>
          <w:tcPr>
            <w:tcW w:w="1224" w:type="dxa"/>
            <w:vAlign w:val="center"/>
          </w:tcPr>
          <w:p w14:paraId="75866144">
            <w:pPr>
              <w:spacing w:before="0" w:after="0" w:line="240" w:lineRule="auto"/>
              <w:jc w:val="center"/>
            </w:pPr>
            <w:r>
              <w:rPr>
                <w:rFonts w:ascii="Times New Roman" w:hAnsi="Times New Roman"/>
                <w:b w:val="0"/>
                <w:sz w:val="18"/>
              </w:rPr>
              <w:t>0.724</w:t>
            </w:r>
          </w:p>
        </w:tc>
      </w:tr>
      <w:tr w14:paraId="5A091907">
        <w:trPr>
          <w:jc w:val="center"/>
        </w:trPr>
        <w:tc>
          <w:tcPr>
            <w:tcW w:w="3024" w:type="dxa"/>
            <w:vAlign w:val="center"/>
          </w:tcPr>
          <w:p w14:paraId="4B6D9E7B">
            <w:pPr>
              <w:spacing w:before="0" w:after="0" w:line="240" w:lineRule="auto"/>
              <w:jc w:val="center"/>
            </w:pPr>
            <w:r>
              <w:rPr>
                <w:rFonts w:ascii="Times New Roman" w:hAnsi="Times New Roman"/>
                <w:b w:val="0"/>
                <w:sz w:val="18"/>
              </w:rPr>
              <w:t>past 12m return</w:t>
            </w:r>
          </w:p>
        </w:tc>
        <w:tc>
          <w:tcPr>
            <w:tcW w:w="1440" w:type="dxa"/>
            <w:vAlign w:val="center"/>
          </w:tcPr>
          <w:p w14:paraId="4B1218DC">
            <w:pPr>
              <w:spacing w:before="0" w:after="0" w:line="240" w:lineRule="auto"/>
              <w:jc w:val="center"/>
            </w:pPr>
            <w:r>
              <w:rPr>
                <w:rFonts w:ascii="Times New Roman" w:hAnsi="Times New Roman"/>
                <w:b w:val="0"/>
                <w:sz w:val="18"/>
              </w:rPr>
              <w:t>0.096</w:t>
            </w:r>
          </w:p>
        </w:tc>
        <w:tc>
          <w:tcPr>
            <w:tcW w:w="1440" w:type="dxa"/>
            <w:vAlign w:val="center"/>
          </w:tcPr>
          <w:p w14:paraId="74EA0CD8">
            <w:pPr>
              <w:spacing w:before="0" w:after="0" w:line="240" w:lineRule="auto"/>
              <w:jc w:val="center"/>
            </w:pPr>
            <w:r>
              <w:rPr>
                <w:rFonts w:ascii="Times New Roman" w:hAnsi="Times New Roman"/>
                <w:b w:val="0"/>
                <w:sz w:val="18"/>
              </w:rPr>
              <w:t>2.07</w:t>
            </w:r>
          </w:p>
        </w:tc>
        <w:tc>
          <w:tcPr>
            <w:tcW w:w="1224" w:type="dxa"/>
            <w:vAlign w:val="center"/>
          </w:tcPr>
          <w:p w14:paraId="4C66DE44">
            <w:pPr>
              <w:spacing w:before="0" w:after="0" w:line="240" w:lineRule="auto"/>
              <w:jc w:val="center"/>
            </w:pPr>
            <w:r>
              <w:rPr>
                <w:rFonts w:ascii="Times New Roman" w:hAnsi="Times New Roman"/>
                <w:b w:val="0"/>
                <w:sz w:val="18"/>
              </w:rPr>
              <w:t>0.038</w:t>
            </w:r>
          </w:p>
        </w:tc>
      </w:tr>
    </w:tbl>
    <w:p w14:paraId="562ACC98">
      <w:pPr>
        <w:spacing w:before="40" w:after="160" w:line="240" w:lineRule="auto"/>
        <w:jc w:val="center"/>
      </w:pPr>
      <w:r>
        <w:rPr>
          <w:rFonts w:ascii="Times New Roman" w:hAnsi="Times New Roman"/>
          <w:i/>
          <w:sz w:val="20"/>
        </w:rPr>
        <w:t>Table 2. Exploratory 12-month forward return regression. R-squared = 0.083; N = 1047.</w:t>
      </w:r>
    </w:p>
    <w:p w14:paraId="4553642E">
      <w:pPr>
        <w:spacing w:before="0" w:after="120" w:line="276" w:lineRule="auto"/>
        <w:ind w:firstLine="432"/>
      </w:pPr>
      <w:r>
        <w:rPr>
          <w:rFonts w:ascii="Times New Roman" w:hAnsi="Times New Roman"/>
          <w:b w:val="0"/>
          <w:i w:val="0"/>
          <w:sz w:val="24"/>
        </w:rPr>
        <w:t>The portfolio sort provides a more direct investment interpretation. Sorting firms monthly by the AI growth-momentum score produces average 12-month forward returns of about 27.7% for the low portfolio, 42.4% for the middle portfolio and 47.2% for the high portfolio. The high-minus-low spread is about 19.5%, with a t-statistic of 3.35 and a p-value below 0.01. This result supports the idea that the theme is more visible over a medium-term horizon than in a one-month regression.</w:t>
      </w:r>
    </w:p>
    <w:p w14:paraId="4A4912EA">
      <w:pPr>
        <w:jc w:val="center"/>
      </w:pPr>
      <w:r>
        <w:drawing>
          <wp:inline distT="0" distB="0" distL="114300" distR="114300">
            <wp:extent cx="4800600" cy="29870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00600" cy="2987040"/>
                    </a:xfrm>
                    <a:prstGeom prst="rect">
                      <a:avLst/>
                    </a:prstGeom>
                  </pic:spPr>
                </pic:pic>
              </a:graphicData>
            </a:graphic>
          </wp:inline>
        </w:drawing>
      </w:r>
    </w:p>
    <w:p w14:paraId="3ECF572F">
      <w:pPr>
        <w:spacing w:before="40" w:after="160" w:line="240" w:lineRule="auto"/>
        <w:jc w:val="center"/>
      </w:pPr>
      <w:r>
        <w:rPr>
          <w:rFonts w:ascii="Times New Roman" w:hAnsi="Times New Roman"/>
          <w:i/>
          <w:sz w:val="20"/>
        </w:rPr>
        <w:t>Figure 2. Portfolio sort based on AI growth-momentum score.</w:t>
      </w:r>
    </w:p>
    <w:p w14:paraId="655E4F55">
      <w:pPr>
        <w:spacing w:before="240" w:after="120" w:line="276" w:lineRule="auto"/>
        <w:jc w:val="left"/>
      </w:pPr>
      <w:r>
        <w:rPr>
          <w:rFonts w:ascii="Times New Roman" w:hAnsi="Times New Roman"/>
          <w:b/>
          <w:sz w:val="28"/>
        </w:rPr>
        <w:t>4. Trading Strategy Design</w:t>
      </w:r>
    </w:p>
    <w:p w14:paraId="7D3F8631">
      <w:pPr>
        <w:spacing w:before="160" w:after="80" w:line="276" w:lineRule="auto"/>
        <w:jc w:val="left"/>
      </w:pPr>
      <w:r>
        <w:rPr>
          <w:rFonts w:ascii="Times New Roman" w:hAnsi="Times New Roman"/>
          <w:b/>
          <w:sz w:val="24"/>
        </w:rPr>
        <w:t>4.1 Signal Construction</w:t>
      </w:r>
    </w:p>
    <w:p w14:paraId="09A99DD2">
      <w:pPr>
        <w:spacing w:before="0" w:after="120" w:line="276" w:lineRule="auto"/>
        <w:ind w:firstLine="432"/>
      </w:pPr>
      <w:r>
        <w:rPr>
          <w:rFonts w:ascii="Times New Roman" w:hAnsi="Times New Roman"/>
          <w:b w:val="0"/>
          <w:i w:val="0"/>
          <w:sz w:val="24"/>
        </w:rPr>
        <w:t>The proposed strategy is a monthly rebalanced medium-term allocation strategy. At each month, firms are ranked on two dimensions: revenue growth rank and past 12-month return rank. The average of the two ranks is the AI growth-momentum score. Revenue growth captures fundamental confirmation of demand, while past return momentum captures market recognition and the possibility of gradual repricing. The strategy favours the top tercile of the score and avoids or underweights the bottom tercile.</w:t>
      </w:r>
    </w:p>
    <w:p w14:paraId="64CCFEF2">
      <w:pPr>
        <w:spacing w:before="0" w:after="120" w:line="276" w:lineRule="auto"/>
        <w:ind w:firstLine="432"/>
      </w:pPr>
      <w:r>
        <w:rPr>
          <w:rFonts w:ascii="Times New Roman" w:hAnsi="Times New Roman"/>
          <w:b w:val="0"/>
          <w:i w:val="0"/>
          <w:sz w:val="24"/>
        </w:rPr>
        <w:t>The strategy is designed as a long-only or long-underweight allocation rather than a theoretical short-selling strategy. This is more realistic because many investors cannot short individual stocks easily, and because shorting popular AI-related firms can be risky during momentum-driven markets. The practical interpretation is to allocate more capital to firms with strong AI infrastructure exposure and stronger signals, while reducing exposure to firms with weak growth, deteriorating momentum or excessive financial risk.</w:t>
      </w:r>
    </w:p>
    <w:p w14:paraId="2BE83002">
      <w:pPr>
        <w:spacing w:before="160" w:after="80" w:line="276" w:lineRule="auto"/>
        <w:jc w:val="left"/>
      </w:pPr>
      <w:r>
        <w:rPr>
          <w:rFonts w:ascii="Times New Roman" w:hAnsi="Times New Roman"/>
          <w:b/>
          <w:sz w:val="24"/>
        </w:rPr>
        <w:t>4.2 Portfolio Implementation</w:t>
      </w:r>
    </w:p>
    <w:p w14:paraId="2D4AD77C">
      <w:pPr>
        <w:spacing w:before="0" w:after="120" w:line="276" w:lineRule="auto"/>
        <w:ind w:firstLine="432"/>
      </w:pPr>
      <w:r>
        <w:rPr>
          <w:rFonts w:ascii="Times New Roman" w:hAnsi="Times New Roman"/>
          <w:b w:val="0"/>
          <w:i w:val="0"/>
          <w:sz w:val="24"/>
        </w:rPr>
        <w:t>The strategy should be implemented as a constrained thematic equity portfolio rather than as an unconstrained bet on a single AI winner. A simple implementation is equal weighting across the top tercile. A more conservative version can use volatility-adjusted weights, reducing exposure to firms with unusually high monthly return volatility. Position caps are also necessary because stocks such as Nvidia, Super Micro Computer or Broadcom can otherwise dominate the portfolio.</w:t>
      </w:r>
    </w:p>
    <w:p w14:paraId="388110CE">
      <w:pPr>
        <w:spacing w:before="0" w:after="120" w:line="276" w:lineRule="auto"/>
        <w:ind w:firstLine="432"/>
      </w:pPr>
      <w:r>
        <w:rPr>
          <w:rFonts w:ascii="Times New Roman" w:hAnsi="Times New Roman"/>
          <w:b w:val="0"/>
          <w:i w:val="0"/>
          <w:sz w:val="24"/>
        </w:rPr>
        <w:t>Risk controls are important because the AI infrastructure trade is highly cyclical. First, the strategy should require positive revenue growth and positive 12-month momentum before entering a position. Second, firms with extreme debt ratios or negative operating profitability should be excluded unless there is a clear transition story. Third, segment diversification should be maintained across semiconductors, data center hardware and power/cooling/grid suppliers. This prevents the strategy from becoming only a semiconductor momentum portfolio. Fourth, the portfolio should be reviewed every six to twelve months rather than traded aggressively every month, because the empirical evidence is strongest over the 12-month horizon.</w:t>
      </w:r>
    </w:p>
    <w:p w14:paraId="2F25BFBA">
      <w:pPr>
        <w:spacing w:before="240" w:after="120" w:line="276" w:lineRule="auto"/>
        <w:jc w:val="left"/>
      </w:pPr>
      <w:r>
        <w:rPr>
          <w:rFonts w:ascii="Times New Roman" w:hAnsi="Times New Roman"/>
          <w:b/>
          <w:sz w:val="28"/>
        </w:rPr>
        <w:t>5. Theoretical Background and Critical Evaluation</w:t>
      </w:r>
    </w:p>
    <w:p w14:paraId="795C0770">
      <w:pPr>
        <w:spacing w:before="160" w:after="80" w:line="276" w:lineRule="auto"/>
        <w:jc w:val="left"/>
      </w:pPr>
      <w:r>
        <w:rPr>
          <w:rFonts w:ascii="Times New Roman" w:hAnsi="Times New Roman"/>
          <w:b/>
          <w:sz w:val="24"/>
        </w:rPr>
        <w:t>5.1 Market-Beating Potential</w:t>
      </w:r>
    </w:p>
    <w:p w14:paraId="455B6306">
      <w:pPr>
        <w:spacing w:before="0" w:after="120" w:line="276" w:lineRule="auto"/>
        <w:ind w:firstLine="432"/>
      </w:pPr>
      <w:r>
        <w:rPr>
          <w:rFonts w:ascii="Times New Roman" w:hAnsi="Times New Roman"/>
          <w:b w:val="0"/>
          <w:i w:val="0"/>
          <w:sz w:val="24"/>
        </w:rPr>
        <w:t>The strategy is grounded in three strands of finance theory. First, under the efficient market hypothesis, public information should be rapidly incorporated into prices (Fama, 1970). A naive version of the AI trade would therefore be unlikely to beat the market. However, the power bottleneck thesis is not only about public AI excitement; it is about second-order supply constraints that may be recognized with delay as orders, construction schedules and power availability become observable.</w:t>
      </w:r>
    </w:p>
    <w:p w14:paraId="092DC591">
      <w:pPr>
        <w:spacing w:before="0" w:after="120" w:line="276" w:lineRule="auto"/>
        <w:ind w:firstLine="432"/>
      </w:pPr>
      <w:r>
        <w:rPr>
          <w:rFonts w:ascii="Times New Roman" w:hAnsi="Times New Roman"/>
          <w:b w:val="0"/>
          <w:i w:val="0"/>
          <w:sz w:val="24"/>
        </w:rPr>
        <w:t>Second, momentum theory supports the use of past 12-month returns. Jegadeesh and Titman (1993) show that winners can continue to outperform over intermediate horizons. In this report, momentum is not used alone. It is combined with revenue growth so that the strategy avoids buying price strength without business confirmation. The post-AI interaction analysis strengthens this interpretation: after 2023, past 12-month momentum becomes more informative for 12-month forward returns, suggesting that the AI infrastructure theme became more visible after the generative AI shock.</w:t>
      </w:r>
    </w:p>
    <w:p w14:paraId="3AA70F61">
      <w:pPr>
        <w:spacing w:before="160" w:after="80" w:line="276" w:lineRule="auto"/>
        <w:jc w:val="left"/>
      </w:pPr>
      <w:r>
        <w:rPr>
          <w:rFonts w:ascii="Times New Roman" w:hAnsi="Times New Roman"/>
          <w:b/>
          <w:sz w:val="24"/>
        </w:rPr>
        <w:t>5.2 Limits to Arbitrage</w:t>
      </w:r>
    </w:p>
    <w:p w14:paraId="7CAC5D02">
      <w:pPr>
        <w:spacing w:before="0" w:after="120" w:line="276" w:lineRule="auto"/>
        <w:ind w:firstLine="432"/>
      </w:pPr>
      <w:r>
        <w:rPr>
          <w:rFonts w:ascii="Times New Roman" w:hAnsi="Times New Roman"/>
          <w:b w:val="0"/>
          <w:i w:val="0"/>
          <w:sz w:val="24"/>
        </w:rPr>
        <w:t>Limits to arbitrage explain why mispricing may persist. Even if investors believe power infrastructure firms are underappreciated, exploiting the opportunity is difficult because the theme is noisy, capital intensive and exposed to policy, interest rates and construction bottlenecks. Shleifer and Vishny (1997) argue that arbitrageurs face capital and timing constraints. In this case, a correct long-term thesis may still suffer short-term drawdowns if investors question AI capex sustainability or if grid interconnection delays postpone revenue recognition.</w:t>
      </w:r>
    </w:p>
    <w:p w14:paraId="43E08C7C">
      <w:pPr>
        <w:spacing w:before="0" w:after="120" w:line="276" w:lineRule="auto"/>
        <w:ind w:firstLine="432"/>
      </w:pPr>
      <w:r>
        <w:rPr>
          <w:rFonts w:ascii="Times New Roman" w:hAnsi="Times New Roman"/>
          <w:b w:val="0"/>
          <w:i w:val="0"/>
          <w:sz w:val="24"/>
        </w:rPr>
        <w:t>A critical weakness of the strategy is that it is partly exposed to a crowded narrative. By 2026, AI infrastructure is no longer an obscure theme. Many investors already understand that data center power, cooling and grid equipment are bottlenecks. The market-beating potential therefore depends on whether second-order beneficiaries continue to surprise expectations, not merely on whether the industry grows. This distinction matters: an excellent industry can still produce poor stock returns if valuations are already too optimistic.</w:t>
      </w:r>
    </w:p>
    <w:p w14:paraId="11203B3A">
      <w:pPr>
        <w:spacing w:before="240" w:after="120" w:line="276" w:lineRule="auto"/>
        <w:jc w:val="left"/>
      </w:pPr>
      <w:r>
        <w:rPr>
          <w:rFonts w:ascii="Times New Roman" w:hAnsi="Times New Roman"/>
          <w:b/>
          <w:sz w:val="28"/>
        </w:rPr>
        <w:t>6. Risks and Robustness</w:t>
      </w:r>
    </w:p>
    <w:p w14:paraId="4ED5C0E9">
      <w:pPr>
        <w:spacing w:before="0" w:after="120" w:line="276" w:lineRule="auto"/>
        <w:ind w:firstLine="432"/>
      </w:pPr>
      <w:r>
        <w:rPr>
          <w:rFonts w:ascii="Times New Roman" w:hAnsi="Times New Roman"/>
          <w:b w:val="0"/>
          <w:i w:val="0"/>
          <w:sz w:val="24"/>
        </w:rPr>
        <w:t>The biggest risk is valuation crowding. If the market has already capitalized future orders into prices, later investors may earn lower returns even if the industry grows. The negative coefficient on capex intensity in the 12-month regression is a useful warning: high investment intensity can signal opportunity, but it can also signal pressure to build capacity ahead of uncertain demand, higher depreciation expense, weaker free cash flow or financing strain. For this reason, the strategy should treat capex as a contextual variable rather than a mechanical buy signal.</w:t>
      </w:r>
    </w:p>
    <w:p w14:paraId="6B4C388C">
      <w:pPr>
        <w:spacing w:before="0" w:after="120" w:line="276" w:lineRule="auto"/>
        <w:ind w:firstLine="432"/>
      </w:pPr>
      <w:r>
        <w:rPr>
          <w:rFonts w:ascii="Times New Roman" w:hAnsi="Times New Roman"/>
          <w:b w:val="0"/>
          <w:i w:val="0"/>
          <w:sz w:val="24"/>
        </w:rPr>
        <w:t>A second risk is infrastructure timing. Power availability, construction costs and equipment delivery are central constraints in data center development. If grid connections, turbines, transformers or cooling equipment face long lead times, revenue may arrive later than investors expect. A third risk is macro sensitivity. Data center REITs, utilities and infrastructure service firms are affected by interest rates and financing costs. A higher discount rate can reduce the present value of long-duration infrastructure cash flows. Semiconductor firms face a different risk: AI demand may remain strong, but memory, GPU or networking supply cycles can reverse if hyperscaler spending slows or if efficiency gains reduce capacity needs.</w:t>
      </w:r>
    </w:p>
    <w:p w14:paraId="6F4CEC4F">
      <w:pPr>
        <w:spacing w:before="0" w:after="120" w:line="276" w:lineRule="auto"/>
        <w:ind w:firstLine="432"/>
      </w:pPr>
      <w:r>
        <w:rPr>
          <w:rFonts w:ascii="Times New Roman" w:hAnsi="Times New Roman"/>
          <w:b w:val="0"/>
          <w:i w:val="0"/>
          <w:sz w:val="24"/>
        </w:rPr>
        <w:t>The robustness tests help but do not eliminate these risks. The one-month regression is weak; stronger results appear at the 12-month horizon, in post-AI interaction tests and in portfolio sorts. This pattern supports the strategy as a medium-term thematic allocation, not as a high-frequency trading rule. The correct interpretation is therefore conditional: the strategy has potential to outperform if AI infrastructure demand remains strong and if investors continue to reprice firms with confirmed growth and momentum.</w:t>
      </w:r>
    </w:p>
    <w:p w14:paraId="01E0C410">
      <w:pPr>
        <w:spacing w:before="240" w:after="120" w:line="276" w:lineRule="auto"/>
        <w:jc w:val="left"/>
      </w:pPr>
      <w:r>
        <w:rPr>
          <w:rFonts w:ascii="Times New Roman" w:hAnsi="Times New Roman"/>
          <w:b/>
          <w:sz w:val="28"/>
        </w:rPr>
        <w:t>7. Conclusion</w:t>
      </w:r>
    </w:p>
    <w:p w14:paraId="271BAED0">
      <w:pPr>
        <w:spacing w:before="0" w:after="120" w:line="276" w:lineRule="auto"/>
        <w:ind w:firstLine="432"/>
      </w:pPr>
      <w:r>
        <w:rPr>
          <w:rFonts w:ascii="Times New Roman" w:hAnsi="Times New Roman"/>
          <w:b w:val="0"/>
          <w:i w:val="0"/>
          <w:sz w:val="24"/>
        </w:rPr>
        <w:t>The AI data center power bottleneck trade is a credible and timely investment theme. Industry evidence shows that AI workloads are increasing the importance of power availability, cooling capacity, data center construction and supply-chain coordination. Empirical analysis of CRSP and Compustat data supports the idea that hardware and semiconductor firms have been the strongest performers, while medium-term results are more informative than one-month returns. The best strategy is not to buy every AI-linked company. It is to build a disciplined portfolio of firms with clear AI infrastructure exposure, revenue growth confirmation and positive momentum, while controlling for leverage, valuation crowding and execution risk.</w:t>
      </w:r>
    </w:p>
    <w:p w14:paraId="4A9D4F7B">
      <w:pPr>
        <w:spacing w:before="240" w:after="120" w:line="276" w:lineRule="auto"/>
        <w:jc w:val="left"/>
      </w:pPr>
      <w:r>
        <w:rPr>
          <w:rFonts w:ascii="Times New Roman" w:hAnsi="Times New Roman"/>
          <w:b/>
          <w:sz w:val="28"/>
        </w:rPr>
        <w:t>AI Usage Statement</w:t>
      </w:r>
    </w:p>
    <w:p w14:paraId="1EA458A0">
      <w:pPr>
        <w:spacing w:after="120" w:line="276" w:lineRule="auto"/>
        <w:ind w:firstLine="432"/>
      </w:pPr>
      <w:r>
        <w:rPr>
          <w:rFonts w:ascii="Times New Roman" w:hAnsi="Times New Roman"/>
          <w:sz w:val="24"/>
        </w:rPr>
        <w:t>I used ChatGPT as an academic support tool throughout this coursework. In the Python assignments, I used it to clarify the logic of merging CRSP monthly stock data with Compustat fundamentals, troubleshoot pandas merge_asof errors, improve code comments, and structure the exploratory data analysis. In the investment report, I used it to brainstorm the AI data center power bottleneck theme, refine the report outline, improve the clarity of financial interpretation, and check whether the empirical findings were presented in a cautious and academically appropriate way.</w:t>
      </w:r>
    </w:p>
    <w:p w14:paraId="73948100">
      <w:pPr>
        <w:spacing w:after="120" w:line="276" w:lineRule="auto"/>
        <w:ind w:firstLine="432"/>
      </w:pPr>
      <w:r>
        <w:rPr>
          <w:rFonts w:ascii="Times New Roman" w:hAnsi="Times New Roman"/>
          <w:sz w:val="24"/>
        </w:rPr>
        <w:t>All WRDS data extraction, variable selection, empirical outputs, final investment judgement, and submitted analysis were reviewed and finalized by myself. I did not use AI to fabricate data, alter empirical results, or replace my own decision-making. Instead, AI was used iteratively as a reasoning and writing assistant: I compared its suggestions with the actual Python outputs, rejected unsupported claims, revised the strategy based on the evidence, and ensured that the final report reflected my own interpretation of the data.</w:t>
      </w:r>
    </w:p>
    <w:p w14:paraId="2EFD0AAE">
      <w:pPr>
        <w:spacing w:before="240" w:after="120" w:line="276" w:lineRule="auto"/>
        <w:jc w:val="left"/>
      </w:pPr>
      <w:r>
        <w:rPr>
          <w:rFonts w:ascii="Times New Roman" w:hAnsi="Times New Roman"/>
          <w:b/>
          <w:sz w:val="28"/>
        </w:rPr>
        <w:t>References</w:t>
      </w:r>
    </w:p>
    <w:p w14:paraId="4CC9823A">
      <w:pPr>
        <w:spacing w:before="0" w:after="80" w:line="240" w:lineRule="auto"/>
        <w:ind w:left="360" w:hanging="360"/>
        <w:jc w:val="left"/>
      </w:pPr>
      <w:r>
        <w:rPr>
          <w:rFonts w:ascii="Times New Roman" w:hAnsi="Times New Roman"/>
          <w:sz w:val="20"/>
        </w:rPr>
        <w:t>Deloitte. (2026a). More compute for AI, not less. Deloitte Insights. https://www.deloitte.com/us/en/insights/industry/technology/technology-media-and-telecom-predictions/2026/compute-power-ai.html</w:t>
      </w:r>
    </w:p>
    <w:p w14:paraId="1DD5D869">
      <w:pPr>
        <w:spacing w:before="0" w:after="80" w:line="240" w:lineRule="auto"/>
        <w:ind w:left="360" w:hanging="360"/>
        <w:jc w:val="left"/>
      </w:pPr>
      <w:r>
        <w:rPr>
          <w:rFonts w:ascii="Times New Roman" w:hAnsi="Times New Roman"/>
          <w:sz w:val="20"/>
        </w:rPr>
        <w:t>Deloitte. (2026b). 2026 Hardware and Consumer Tech Industry Outlook. Deloitte Insights. https://www.deloitte.com/us/en/insights/industry/technology/technology-media-telecom-outlooks/hardware-consumer-tech-outlook.html</w:t>
      </w:r>
    </w:p>
    <w:p w14:paraId="461204BB">
      <w:pPr>
        <w:spacing w:before="0" w:after="80" w:line="240" w:lineRule="auto"/>
        <w:ind w:left="360" w:hanging="360"/>
        <w:jc w:val="left"/>
      </w:pPr>
      <w:r>
        <w:rPr>
          <w:rFonts w:ascii="Times New Roman" w:hAnsi="Times New Roman"/>
          <w:sz w:val="20"/>
        </w:rPr>
        <w:t>Deloitte. (2026c). 2026 Global Semiconductor Industry Outlook. Deloitte Insights. https://www.deloitte.com/us/en/insights/industry/technology/technology-media-telecom-outlooks/semiconductor-industry-outlook.html</w:t>
      </w:r>
    </w:p>
    <w:p w14:paraId="029A9341">
      <w:pPr>
        <w:spacing w:before="0" w:after="80" w:line="240" w:lineRule="auto"/>
        <w:ind w:left="360" w:hanging="360"/>
        <w:jc w:val="left"/>
      </w:pPr>
      <w:r>
        <w:rPr>
          <w:rFonts w:ascii="Times New Roman" w:hAnsi="Times New Roman"/>
          <w:sz w:val="20"/>
        </w:rPr>
        <w:t>Fama, E. F. (1970). Efficient capital markets: A review of theory and empirical work. Journal of Finance, 25(2), 383-417.</w:t>
      </w:r>
    </w:p>
    <w:p w14:paraId="4386C7B1">
      <w:pPr>
        <w:spacing w:before="0" w:after="80" w:line="240" w:lineRule="auto"/>
        <w:ind w:left="360" w:hanging="360"/>
        <w:jc w:val="left"/>
      </w:pPr>
      <w:r>
        <w:rPr>
          <w:rFonts w:ascii="Times New Roman" w:hAnsi="Times New Roman"/>
          <w:sz w:val="20"/>
        </w:rPr>
        <w:t>Goldman Sachs. (2025). How AI is transforming data centers and ramping up power demand. https://www.goldmansachs.com/insights/articles/how-ai-is-transforming-data-centers-and-ramping-up-power-demand</w:t>
      </w:r>
    </w:p>
    <w:p w14:paraId="2D5C307A">
      <w:pPr>
        <w:spacing w:before="0" w:after="80" w:line="240" w:lineRule="auto"/>
        <w:ind w:left="360" w:hanging="360"/>
        <w:jc w:val="left"/>
      </w:pPr>
      <w:r>
        <w:rPr>
          <w:rFonts w:ascii="Times New Roman" w:hAnsi="Times New Roman"/>
          <w:sz w:val="20"/>
        </w:rPr>
        <w:t>International Energy Agency. (2026). Electricity 2026. https://www.iea.org/reports/electricity-2026</w:t>
      </w:r>
    </w:p>
    <w:p w14:paraId="69C4D74E">
      <w:pPr>
        <w:spacing w:before="0" w:after="80" w:line="240" w:lineRule="auto"/>
        <w:ind w:left="360" w:hanging="360"/>
        <w:jc w:val="left"/>
      </w:pPr>
      <w:r>
        <w:rPr>
          <w:rFonts w:ascii="Times New Roman" w:hAnsi="Times New Roman"/>
          <w:sz w:val="20"/>
        </w:rPr>
        <w:t>JLL. (2026). 2026 Global Data Center Market Outlook. https://www.jll.com/en-us/insights/market-outlook/global-data-centers</w:t>
      </w:r>
    </w:p>
    <w:p w14:paraId="0B8E0F1D">
      <w:pPr>
        <w:spacing w:before="0" w:after="80" w:line="240" w:lineRule="auto"/>
        <w:ind w:left="360" w:hanging="360"/>
        <w:jc w:val="left"/>
      </w:pPr>
      <w:r>
        <w:rPr>
          <w:rFonts w:ascii="Times New Roman" w:hAnsi="Times New Roman"/>
          <w:sz w:val="20"/>
        </w:rPr>
        <w:t>Jegadeesh, N., &amp; Titman, S. (1993). Returns to buying winners and selling losers: Implications for stock market efficiency. Journal of Finance, 48(1), 65-91.</w:t>
      </w:r>
    </w:p>
    <w:p w14:paraId="1E0ED800">
      <w:pPr>
        <w:spacing w:before="0" w:after="80" w:line="240" w:lineRule="auto"/>
        <w:ind w:left="360" w:hanging="360"/>
        <w:jc w:val="left"/>
      </w:pPr>
      <w:r>
        <w:rPr>
          <w:rFonts w:ascii="Times New Roman" w:hAnsi="Times New Roman"/>
          <w:sz w:val="20"/>
        </w:rPr>
        <w:t>Shleifer, A., &amp; Vishny, R. W. (1997). The limits of arbitrage. Journal of Finance, 52(1), 35-55.</w:t>
      </w:r>
    </w:p>
    <w:p w14:paraId="4D475D3B">
      <w:pPr>
        <w:spacing w:before="0" w:after="80" w:line="240" w:lineRule="auto"/>
        <w:ind w:left="360" w:hanging="360"/>
        <w:jc w:val="left"/>
      </w:pPr>
      <w:r>
        <w:rPr>
          <w:rFonts w:ascii="Times New Roman" w:hAnsi="Times New Roman"/>
          <w:sz w:val="20"/>
        </w:rPr>
        <w:t>Wharton Research Data Services. (2026). CRSP monthly stock file and Compustat fundamentals accessed through WRDS.</w:t>
      </w:r>
    </w:p>
    <w:p w14:paraId="07801994">
      <w:pPr>
        <w:spacing w:before="240" w:after="120" w:line="276" w:lineRule="auto"/>
        <w:jc w:val="left"/>
      </w:pPr>
      <w:r>
        <w:rPr>
          <w:rFonts w:ascii="Times New Roman" w:hAnsi="Times New Roman"/>
          <w:b/>
          <w:sz w:val="28"/>
        </w:rPr>
        <w:t>Appendix: Empirical Method Summary</w:t>
      </w:r>
    </w:p>
    <w:p w14:paraId="672A2276">
      <w:pPr>
        <w:spacing w:before="0" w:after="120" w:line="276" w:lineRule="auto"/>
        <w:ind w:firstLine="432"/>
      </w:pPr>
      <w:r>
        <w:rPr>
          <w:rFonts w:ascii="Times New Roman" w:hAnsi="Times New Roman"/>
          <w:b w:val="0"/>
          <w:i w:val="0"/>
          <w:sz w:val="24"/>
        </w:rPr>
        <w:t>The empirical dataset uses CRSP monthly stock data and Compustat annual fundamentals from 2015 to 2024. Accounting data are matched to monthly returns using CRSP-Compustat link identifiers and a six-month availability lag. The sample contains 1,853 firm-month observations before removing unmatched fundamentals and 1,572 matched observations used in EDA. Future returns are computed as one-month, six-month and twelve-month forward returns. The AI growth-momentum portfolio score is the average of monthly cross-sectional revenue growth rank and past 12-month return rank.</w:t>
      </w:r>
    </w:p>
    <w:sectPr>
      <w:pgSz w:w="12240" w:h="15840"/>
      <w:pgMar w:top="1037" w:right="864" w:bottom="1037" w:left="87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rial">
    <w:panose1 w:val="020B06040202020902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FFF01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果果</cp:lastModifiedBy>
  <dcterms:modified xsi:type="dcterms:W3CDTF">2026-05-20T06:07:46Z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4BF9DD4D3654895932DF0C6AC9071962_42</vt:lpwstr>
  </property>
</Properties>
</file>