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7D68B6">
      <w:pPr>
        <w:jc w:val="center"/>
        <w:rPr>
          <w:rFonts w:hint="eastAsia" w:eastAsiaTheme="minorEastAsia"/>
          <w:sz w:val="18"/>
          <w:szCs w:val="21"/>
          <w:lang w:eastAsia="zh-CN"/>
        </w:rPr>
      </w:pPr>
      <w:r>
        <w:rPr>
          <w:rFonts w:hint="eastAsia" w:eastAsiaTheme="minorEastAsia"/>
          <w:sz w:val="18"/>
          <w:szCs w:val="21"/>
          <w:lang w:eastAsia="zh-CN"/>
        </w:rPr>
        <w:drawing>
          <wp:inline distT="0" distB="0" distL="114300" distR="114300">
            <wp:extent cx="3757930" cy="768985"/>
            <wp:effectExtent l="0" t="0" r="1270" b="19050"/>
            <wp:docPr id="1" name="图片 1" descr="西浦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西浦logo"/>
                    <pic:cNvPicPr>
                      <a:picLocks noChangeAspect="1"/>
                    </pic:cNvPicPr>
                  </pic:nvPicPr>
                  <pic:blipFill>
                    <a:blip r:embed="rId4"/>
                    <a:stretch>
                      <a:fillRect/>
                    </a:stretch>
                  </pic:blipFill>
                  <pic:spPr>
                    <a:xfrm>
                      <a:off x="0" y="0"/>
                      <a:ext cx="3757930" cy="768985"/>
                    </a:xfrm>
                    <a:prstGeom prst="rect">
                      <a:avLst/>
                    </a:prstGeom>
                  </pic:spPr>
                </pic:pic>
              </a:graphicData>
            </a:graphic>
          </wp:inline>
        </w:drawing>
      </w:r>
    </w:p>
    <w:p w14:paraId="5728BC98">
      <w:pPr>
        <w:jc w:val="center"/>
        <w:rPr>
          <w:rFonts w:hint="default" w:ascii="Times New Roman Bold" w:hAnsi="Times New Roman Bold" w:cs="Times New Roman Bold" w:eastAsiaTheme="minorEastAsia"/>
          <w:b/>
          <w:bCs/>
          <w:sz w:val="36"/>
          <w:szCs w:val="44"/>
          <w:lang w:eastAsia="zh-CN"/>
        </w:rPr>
      </w:pPr>
      <w:r>
        <w:rPr>
          <w:rFonts w:hint="default" w:ascii="Times New Roman Bold" w:hAnsi="Times New Roman Bold" w:cs="Times New Roman Bold" w:eastAsiaTheme="minorEastAsia"/>
          <w:b/>
          <w:bCs/>
          <w:sz w:val="36"/>
          <w:szCs w:val="44"/>
          <w:lang w:eastAsia="zh-CN"/>
        </w:rPr>
        <w:t>AI Exposure and Capital Flows: The Role of Investor Attention after the ChatGPT Shock</w:t>
      </w:r>
    </w:p>
    <w:p w14:paraId="243E9758">
      <w:pPr>
        <w:jc w:val="center"/>
        <w:rPr>
          <w:rFonts w:hint="default" w:ascii="Times New Roman Bold" w:hAnsi="Times New Roman Bold" w:cs="Times New Roman Bold" w:eastAsiaTheme="minorEastAsia"/>
          <w:b/>
          <w:bCs/>
          <w:sz w:val="36"/>
          <w:szCs w:val="44"/>
          <w:lang w:eastAsia="zh-CN"/>
        </w:rPr>
      </w:pPr>
    </w:p>
    <w:p w14:paraId="2E48124B">
      <w:pPr>
        <w:jc w:val="center"/>
        <w:rPr>
          <w:rFonts w:hint="eastAsia"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B</w:t>
      </w:r>
      <w:r>
        <w:rPr>
          <w:rFonts w:hint="eastAsia" w:ascii="Times New Roman Bold" w:hAnsi="Times New Roman Bold" w:cs="Times New Roman Bold"/>
          <w:b/>
          <w:bCs/>
          <w:sz w:val="32"/>
          <w:szCs w:val="40"/>
          <w:lang w:val="en-US" w:eastAsia="zh-CN"/>
        </w:rPr>
        <w:t>y</w:t>
      </w:r>
    </w:p>
    <w:p w14:paraId="45A4C29B">
      <w:pPr>
        <w:jc w:val="center"/>
        <w:rPr>
          <w:rFonts w:hint="default"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Nan.Lin</w:t>
      </w:r>
    </w:p>
    <w:p w14:paraId="74088382">
      <w:pPr>
        <w:jc w:val="center"/>
        <w:rPr>
          <w:rFonts w:hint="default"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2252173</w:t>
      </w:r>
    </w:p>
    <w:p w14:paraId="1A07E0B7">
      <w:pPr>
        <w:jc w:val="center"/>
        <w:rPr>
          <w:rFonts w:hint="default" w:ascii="Times New Roman Bold" w:hAnsi="Times New Roman Bold" w:cs="Times New Roman Bold"/>
          <w:b/>
          <w:bCs/>
          <w:sz w:val="32"/>
          <w:szCs w:val="40"/>
          <w:lang w:val="en-US" w:eastAsia="zh-CN"/>
        </w:rPr>
      </w:pPr>
    </w:p>
    <w:p w14:paraId="37B9DCAD">
      <w:pPr>
        <w:autoSpaceDE w:val="0"/>
        <w:autoSpaceDN w:val="0"/>
        <w:adjustRightInd w:val="0"/>
        <w:spacing w:line="480" w:lineRule="auto"/>
        <w:jc w:val="center"/>
        <w:rPr>
          <w:rFonts w:hint="default" w:ascii="Times New Roman" w:hAnsi="Times New Roman" w:cs="Times New Roman"/>
          <w:b/>
          <w:bCs/>
          <w:sz w:val="32"/>
          <w:szCs w:val="32"/>
          <w:lang w:val="en-US"/>
        </w:rPr>
      </w:pPr>
      <w:r>
        <w:rPr>
          <w:rFonts w:ascii="Times New Roman" w:hAnsi="Times New Roman" w:cs="Times New Roman"/>
          <w:b/>
          <w:bCs/>
          <w:sz w:val="32"/>
          <w:szCs w:val="32"/>
        </w:rPr>
        <w:t xml:space="preserve">Supervisor: </w:t>
      </w:r>
      <w:r>
        <w:rPr>
          <w:rFonts w:hint="default" w:ascii="Times New Roman" w:hAnsi="Times New Roman" w:cs="Times New Roman"/>
          <w:b/>
          <w:bCs/>
          <w:sz w:val="32"/>
          <w:szCs w:val="32"/>
          <w:lang w:val="en-US"/>
        </w:rPr>
        <w:t>Zihua.Liu</w:t>
      </w:r>
    </w:p>
    <w:p w14:paraId="59A8D4AC">
      <w:pPr>
        <w:autoSpaceDE w:val="0"/>
        <w:autoSpaceDN w:val="0"/>
        <w:adjustRightInd w:val="0"/>
        <w:spacing w:line="480" w:lineRule="auto"/>
        <w:jc w:val="center"/>
        <w:rPr>
          <w:rFonts w:hint="default" w:ascii="Times New Roman" w:hAnsi="Times New Roman" w:cs="Times New Roman"/>
          <w:b/>
          <w:bCs/>
          <w:sz w:val="32"/>
          <w:szCs w:val="32"/>
          <w:lang w:val="en-US"/>
        </w:rPr>
      </w:pPr>
    </w:p>
    <w:p w14:paraId="40444582">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A Dissertation Submitted in Partial Fulfillment of the Requirements for the</w:t>
      </w:r>
    </w:p>
    <w:p w14:paraId="393EE6F8">
      <w:pPr>
        <w:autoSpaceDE w:val="0"/>
        <w:autoSpaceDN w:val="0"/>
        <w:adjustRightInd w:val="0"/>
        <w:spacing w:line="480" w:lineRule="auto"/>
        <w:jc w:val="center"/>
        <w:rPr>
          <w:rFonts w:hint="default" w:ascii="Times New Roman" w:hAnsi="Times New Roman" w:cs="Times New Roman"/>
          <w:b/>
          <w:bCs/>
          <w:sz w:val="32"/>
          <w:szCs w:val="32"/>
          <w:lang w:val="en-US"/>
        </w:rPr>
      </w:pPr>
    </w:p>
    <w:p w14:paraId="6544DC48">
      <w:pPr>
        <w:autoSpaceDE w:val="0"/>
        <w:autoSpaceDN w:val="0"/>
        <w:adjustRightInd w:val="0"/>
        <w:spacing w:line="48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BSc Information Management and Information Systems</w:t>
      </w:r>
    </w:p>
    <w:p w14:paraId="0C96E6DF">
      <w:pPr>
        <w:autoSpaceDE w:val="0"/>
        <w:autoSpaceDN w:val="0"/>
        <w:adjustRightInd w:val="0"/>
        <w:spacing w:line="480" w:lineRule="auto"/>
        <w:jc w:val="center"/>
        <w:rPr>
          <w:rFonts w:hint="default" w:ascii="Times New Roman" w:hAnsi="Times New Roman" w:cs="Times New Roman"/>
          <w:b/>
          <w:bCs/>
          <w:sz w:val="32"/>
          <w:szCs w:val="32"/>
          <w:lang w:val="en-US"/>
        </w:rPr>
      </w:pPr>
    </w:p>
    <w:p w14:paraId="1A96BCD7">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to</w:t>
      </w:r>
    </w:p>
    <w:p w14:paraId="7D0C0EBF">
      <w:pPr>
        <w:autoSpaceDE w:val="0"/>
        <w:autoSpaceDN w:val="0"/>
        <w:adjustRightInd w:val="0"/>
        <w:spacing w:line="480" w:lineRule="auto"/>
        <w:jc w:val="center"/>
        <w:rPr>
          <w:rFonts w:ascii="Times New Roman" w:hAnsi="Times New Roman" w:cs="Times New Roman"/>
          <w:b/>
          <w:bCs/>
          <w:sz w:val="32"/>
          <w:szCs w:val="32"/>
        </w:rPr>
      </w:pPr>
    </w:p>
    <w:p w14:paraId="32BAFFF6">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International Business School Suzhou</w:t>
      </w:r>
    </w:p>
    <w:p w14:paraId="113DF5B6">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Xi’an Jiaotong-Liverpool University</w:t>
      </w:r>
    </w:p>
    <w:p w14:paraId="134DC377">
      <w:pPr>
        <w:autoSpaceDE w:val="0"/>
        <w:autoSpaceDN w:val="0"/>
        <w:adjustRightInd w:val="0"/>
        <w:spacing w:line="480" w:lineRule="auto"/>
        <w:jc w:val="center"/>
        <w:rPr>
          <w:rFonts w:ascii="Times New Roman" w:hAnsi="Times New Roman" w:cs="Times New Roman"/>
          <w:b/>
          <w:bCs/>
          <w:sz w:val="32"/>
          <w:szCs w:val="32"/>
        </w:rPr>
      </w:pPr>
    </w:p>
    <w:p w14:paraId="79DC9578">
      <w:pPr>
        <w:autoSpaceDE w:val="0"/>
        <w:autoSpaceDN w:val="0"/>
        <w:adjustRightInd w:val="0"/>
        <w:spacing w:line="48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May 18, 2026</w:t>
      </w:r>
    </w:p>
    <w:p w14:paraId="274E5FB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8"/>
          <w:szCs w:val="28"/>
          <w:lang w:val="en-US" w:eastAsia="zh-CN"/>
        </w:rPr>
      </w:pPr>
      <w:r>
        <w:rPr>
          <w:rFonts w:hint="default" w:ascii="Times New Roman Bold" w:hAnsi="Times New Roman Bold" w:eastAsia="标准粗黑" w:cs="Times New Roman Bold"/>
          <w:b/>
          <w:bCs/>
          <w:sz w:val="28"/>
          <w:szCs w:val="28"/>
          <w:lang w:val="en-US" w:eastAsia="zh-CN"/>
        </w:rPr>
        <w:t>1. Introduction</w:t>
      </w:r>
    </w:p>
    <w:p w14:paraId="307376A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4"/>
          <w:szCs w:val="24"/>
          <w:lang w:val="en-US" w:eastAsia="zh-CN"/>
        </w:rPr>
      </w:pPr>
      <w:r>
        <w:rPr>
          <w:rFonts w:hint="default" w:ascii="Times New Roman Bold" w:hAnsi="Times New Roman Bold" w:eastAsia="标准粗黑" w:cs="Times New Roman Bold"/>
          <w:b/>
          <w:bCs/>
          <w:sz w:val="24"/>
          <w:szCs w:val="24"/>
          <w:lang w:val="en-US" w:eastAsia="zh-CN"/>
        </w:rPr>
        <w:t>1.1 Research Background</w:t>
      </w:r>
    </w:p>
    <w:p w14:paraId="5F2EDFC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The rapid development of generative artificial intelligence has become one of the most important technological events affecting financial markets in recent years. The release of ChatGPT in November 2022 marked a particularly visible turning point, as it substantially increased public awareness of the commercial potential of artificial intelligence and intensified investor attention toward AI-related firms. Following this event, companies associated with semiconductors, cloud computing, machine learning infrastructure, and AI applications attracted considerable market interest, reflecting expectations that generative AI could reshape productivity, firm value, and future economic growth.</w:t>
      </w:r>
    </w:p>
    <w:p w14:paraId="2FDF243A">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DC56DA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This technological shock is particularly relevant to the mutual fund industry. Mutual funds act as major institutional investors and important channels through which household and institutional capital is allocated to financial markets. If investors perceive AI-related firms as future growth opportunities, they may respond not only by purchasing individual AI stocks, but also by reallocating capital toward mutual funds that already hold greater exposure to AI-related assets. Therefore, the ChatGPT shock provides a useful setting to examine whether technological narratives and investor attention translate into measurable fund flow responses.</w:t>
      </w:r>
    </w:p>
    <w:p w14:paraId="390FAC3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7C1E45A">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However, investor reactions may not depend only on AI exposure. Prior fund performance may also matter because investors often interpret past performance as a signal of managerial ability and investment credibility. A fund with high AI exposure and strong historical performance may therefore be viewed as better positioned to benefit from the AI boom than a similarly exposed fund with weaker past performance. In addition, fund managers themselves may respond strategically to the AI shock by adjusting their portfolios toward more exploratory allocations, especially when new technological opportunities emerge rapidly.</w:t>
      </w:r>
    </w:p>
    <w:p w14:paraId="444B6166">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1.2 Research Problem and Objectives</w:t>
      </w:r>
    </w:p>
    <w:p w14:paraId="78E12D39">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Although existing studies have examined artificial intelligence, investor attention, and mutual fund flows separately, relatively limited evidence exists on how a major generative AI shock affects capital allocation within the mutual fund industry. In particular, it remains unclear whether funds with higher pre-existing AI exposure attracted stronger investor inflows after the release of ChatGPT, whether this effect differed across funds with different prior performance, and whether AI-exposed funds subsequently adjusted their investment strategies.</w:t>
      </w:r>
    </w:p>
    <w:p w14:paraId="3A78A29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1C0CA98">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This study addresses this gap by examining the impact of the ChatGPT shock on U.S. mutual fund flows and portfolio behavior. The first objective is to test whether funds with higher AI exposure experienced greater post-shock inflows. The second objective is to investigate whether prior fund performance strengthens this relationship. The third objective is to explore whether AI-exposed funds adopted more exploratory portfolio allocation strategies after the emergence of generative AI.</w:t>
      </w:r>
    </w:p>
    <w:p w14:paraId="15FD1448">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A47774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Based on these objectives, this thesis asks three research questions:</w:t>
      </w:r>
    </w:p>
    <w:p w14:paraId="200183AE">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9FC761E">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RQ1: Did mutual funds with higher AI-related asset exposure experience significantly greater investor inflows after the release of ChatGPT?</w:t>
      </w:r>
    </w:p>
    <w:p w14:paraId="2D5961C1">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842493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RQ2: Did prior fund performance moderate the relationship between AI exposure and post-ChatGPT fund flows?</w:t>
      </w:r>
    </w:p>
    <w:p w14:paraId="3858658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179BAC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Time" w:cs="Times New Roman"/>
          <w:b w:val="0"/>
          <w:bCs/>
          <w:i w:val="0"/>
          <w:iCs/>
          <w:sz w:val="24"/>
          <w:szCs w:val="24"/>
          <w:lang w:val="en-US" w:eastAsia="zh-CN"/>
        </w:rPr>
      </w:pPr>
      <w:r>
        <w:rPr>
          <w:rFonts w:hint="default" w:ascii="Times New Roman" w:hAnsi="Times New Roman" w:eastAsia="Time" w:cs="Times New Roman"/>
          <w:b w:val="0"/>
          <w:bCs/>
          <w:i w:val="0"/>
          <w:iCs/>
          <w:sz w:val="24"/>
          <w:szCs w:val="24"/>
          <w:lang w:val="en-US" w:eastAsia="zh-CN"/>
        </w:rPr>
        <w:t>RQ3: Did AI-exposed mutual funds exhibit greater exploratory portfolio allocation behavior following the ChatGPT shock?</w:t>
      </w:r>
    </w:p>
    <w:p w14:paraId="65A4884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25E751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4"/>
          <w:szCs w:val="24"/>
          <w:lang w:val="en-US" w:eastAsia="zh-CN"/>
        </w:rPr>
      </w:pPr>
      <w:r>
        <w:rPr>
          <w:rFonts w:hint="default" w:ascii="Times New Roman Bold" w:hAnsi="Times New Roman Bold" w:eastAsia="标准粗黑" w:cs="Times New Roman Bold"/>
          <w:b/>
          <w:bCs/>
          <w:sz w:val="24"/>
          <w:szCs w:val="24"/>
          <w:lang w:val="en-US" w:eastAsia="zh-CN"/>
        </w:rPr>
        <w:t>1.3 Research Design and Contributions</w:t>
      </w:r>
    </w:p>
    <w:p w14:paraId="09F1C1C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To answer these questions, this study constructs a panel dataset of U.S. mutual funds using CRSP mutual fund return, asset, and holdings-related data. AI exposure is measured based on the proportion of fund holdings allocated to AI-related firms before the release of ChatGPT. The main empirical strategy applies a Difference-in-Differences framework that compares changes in fund flows between funds with different levels of AI exposure before and after the ChatGPT shock. Event-study analysis is further used to examine pre-treatment trends, while heterogeneity analysis and robustness tests are conducted to assess the validity of the results.</w:t>
      </w:r>
    </w:p>
    <w:p w14:paraId="2EA4B22E">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46FA78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This study contributes to the literature in several ways. First, it adds to the emerging research on artificial intelligence and financial markets by shifting attention from firm-level stock reactions to institutional capital allocation through mutual funds. Second, it contributes to the investor attention literature by showing how a highly visible technological event may redirect capital toward funds associated with a popular investment theme. Third, it extends mutual fund research by examining how historical performance interacts with AI exposure in shaping investor responses. Finally, by investigating exploratory portfolio adjustments, this study provides evidence on how fund managers adapt to technological shocks.</w:t>
      </w:r>
    </w:p>
    <w:p w14:paraId="17049D9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6D647B8">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1.4 Thesis Structure</w:t>
      </w:r>
    </w:p>
    <w:p w14:paraId="1752955E">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The remainder of this thesis is organized as follows. Chapter 2 reviews the relevant literature and develops the research hypotheses. Chapter 3 introduces the data, variable construction, and empirical methodology. Chapter 4 presents the empirical results, including baseline estimations, event-study analysis, heterogeneity tests, and robustness checks. Chapter 5 discusses the findings in relation to existing literature and considers their implications. Chapter 6 concludes the thesis by summarizing the main findings, limitations, and directions for future research.</w:t>
      </w:r>
    </w:p>
    <w:p w14:paraId="4AA0A17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8"/>
          <w:szCs w:val="28"/>
          <w:lang w:val="en-US" w:eastAsia="zh-CN"/>
        </w:rPr>
      </w:pPr>
    </w:p>
    <w:p w14:paraId="66B5A6F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8"/>
          <w:szCs w:val="28"/>
          <w:lang w:val="en-US" w:eastAsia="zh-CN"/>
        </w:rPr>
        <w:t>2. Literature Review and Hypothesis Development</w:t>
      </w:r>
    </w:p>
    <w:p w14:paraId="0106707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2.1 Artificial Intelligence and Financial Markets</w:t>
      </w:r>
    </w:p>
    <w:p w14:paraId="40B3F488">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Artificial intelligence has become one of the most influential technological developments affecting modern financial markets. Rapid advances in machine learning, natural language processing, and generative AI technologies have significantly increased investor attention toward firms associated with AI innovation. In particular, the release of ChatGPT in November 2022 accelerated market optimism regarding the future commercial potential of generative artificial intelligence and triggered substantial valuation increases among AI-related firms.</w:t>
      </w:r>
    </w:p>
    <w:p w14:paraId="7789427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B0669D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Prior studies suggest that technological innovation can generate significant effects on investor expectations and asset prices because investors often associate emerging technologies with future productivity growth and long-term profitability. During periods of technological excitement, financial markets may exhibit strong thematic investment behavior, where capital flows disproportionately toward firms connected to emerging innovation trends. The rapid rise of AI-related stocks following the emergence of ChatGPT reflects this phenomenon and indicates that investors increasingly viewed artificial intelligence as a transformative economic force.</w:t>
      </w:r>
    </w:p>
    <w:p w14:paraId="7CDF608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CB55748">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Existing research on artificial intelligence and financial markets has primarily focused on firm-level outcomes, including stock returns, innovation performance, and AI adoption. However, relatively limited attention has been paid to how AI-related technological shocks influence institutional capital allocation through mutual funds. Since mutual funds represent major institutional investors within financial markets, understanding how they respond to technological shocks is important for examining the broader transmission of AI-related market sentiment into investment behavior.</w:t>
      </w:r>
    </w:p>
    <w:p w14:paraId="21C642BB">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86F235A">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4"/>
          <w:szCs w:val="24"/>
          <w:lang w:val="en-US" w:eastAsia="zh-CN"/>
        </w:rPr>
      </w:pPr>
      <w:r>
        <w:rPr>
          <w:rFonts w:hint="default" w:ascii="Times New Roman Bold" w:hAnsi="Times New Roman Bold" w:eastAsia="标准粗黑" w:cs="Times New Roman Bold"/>
          <w:b/>
          <w:bCs/>
          <w:sz w:val="24"/>
          <w:szCs w:val="24"/>
          <w:lang w:val="en-US" w:eastAsia="zh-CN"/>
        </w:rPr>
        <w:t>2.2 Investor Attention and Capital Flows</w:t>
      </w:r>
    </w:p>
    <w:p w14:paraId="2DE5E28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Investor attention plays an important role in shaping financial market behavior and capital allocation decisions. Prior literature argues that investors face limited attention and therefore tend to allocate capital toward assets or investment themes that receive greater public visibility and media coverage. As a result, highly visible events often attract disproportionate investor interest and generate abnormal trading activity or capital flows.</w:t>
      </w:r>
    </w:p>
    <w:p w14:paraId="68F72D67">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4DB4D01">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The emergence of ChatGPT represents a particularly important attention-generating event because it rapidly increased public awareness of generative artificial intelligence technologies within a short period of time. Extensive media coverage, public discussion, and strong stock market reactions surrounding AI-related firms likely increased investor demand for investment vehicles associated with artificial intelligence themes. In this context, mutual funds with greater pre-existing exposure to AI-related firms may have benefited from increased investor attention and thematic capital allocation.</w:t>
      </w:r>
    </w:p>
    <w:p w14:paraId="17DE56A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0EFBE1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Previous studies on mutual fund flows suggest that investors frequently direct capital toward funds associated with popular market narratives or investment opportunities. Thematic investing behavior is especially common during periods of technological innovation or market optimism, when investors attempt to gain exposure to emerging growth sectors. Therefore, if investors perceived AI-related industries as future growth opportunities after the release of ChatGPT, funds with higher AI exposure may have attracted greater investor inflows relative to less exposed funds.</w:t>
      </w:r>
    </w:p>
    <w:p w14:paraId="77CF81F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4771016">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Based on the above discussion, this study proposes the following hypothesis:</w:t>
      </w:r>
    </w:p>
    <w:p w14:paraId="7628864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52BB777">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H1: Mutual funds with higher AI-related asset exposure experienced significantly greater investor inflows after the release of ChatGPT.</w:t>
      </w:r>
    </w:p>
    <w:p w14:paraId="1726B40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5FCD4D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2.3 Mutual Fund Performance and Investor Response</w:t>
      </w:r>
    </w:p>
    <w:p w14:paraId="68600EE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In addition to thematic exposure, prior fund performance is also an important determinant of investor capital allocation decisions. Extensive literature on mutual fund flows documents that investors tend to allocate more capital toward funds with superior historical performance. This phenomenon, commonly referred to as performance-chasing behavior, reflects the tendency of investors to interpret past returns as signals of managerial skill, investment ability, and information advantages.</w:t>
      </w:r>
    </w:p>
    <w:p w14:paraId="3EDDBD4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E1565EA">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Funds with strong historical performance may therefore enjoy greater credibility among investors during periods of market uncertainty or technological change. In the context of the ChatGPT shock, investors may have viewed high-performing AI-exposed funds as being better positioned to benefit from the rapid expansion of AI-related industries. Conversely, funds with weaker historical performance may have been less successful in attracting investor confidence even if they possessed similar AI-related asset exposure.</w:t>
      </w:r>
    </w:p>
    <w:p w14:paraId="3CE4B86B">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85935A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Prior research also suggests that investor responses to new investment opportunities are often influenced by both market narratives and managerial reputation. Therefore, the relationship between AI exposure and investor fund flows may not be uniform across all funds. Instead, historical performance may strengthen the positive impact of AI exposure on post-ChatGPT investor inflows.</w:t>
      </w:r>
    </w:p>
    <w:p w14:paraId="50594717">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56983A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Based on this reasoning, the following hypothesis is proposed:</w:t>
      </w:r>
    </w:p>
    <w:p w14:paraId="1C08601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0BF6366">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H2: The positive relationship between AI exposure and post-ChatGPT investor inflows is stronger among funds with superior prior performance.</w:t>
      </w:r>
    </w:p>
    <w:p w14:paraId="72D7627C">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7340A0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2.4 Technological Shocks and Institutional Adaptation</w:t>
      </w:r>
    </w:p>
    <w:p w14:paraId="6DDC0D16">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Technological shocks may influence not only investor behavior but also institutional investment strategies. When major technological innovations emerge, institutional investors often adjust their portfolio allocation decisions to capture new growth opportunities and respond to changing market expectations. Such adjustments may involve increasing investments in emerging industries, reallocating capital across sectors, or adopting more exploratory investment strategies.</w:t>
      </w:r>
    </w:p>
    <w:p w14:paraId="2BFDD87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0FBDA9F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The emergence of generative artificial intelligence may have created strong incentives for fund managers to actively reposition their portfolios toward AI-related opportunities. Since technological innovation can rapidly reshape competitive advantages and future market expectations, institutional investors may attempt to increase exposure to firms associated with emerging technologies in order to improve future performance and maintain competitiveness.</w:t>
      </w:r>
    </w:p>
    <w:p w14:paraId="2FFAC0DB">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0928DB7">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Exploratory investment behavior is particularly relevant during periods of technological transformation because investors face substantial uncertainty regarding which firms or industries will ultimately benefit from innovation. As a result, fund managers may increase portfolio experimentation, diversify into new technological sectors, or adjust investment strategies more aggressively following major technological shocks.</w:t>
      </w:r>
    </w:p>
    <w:p w14:paraId="6055784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430226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In the context of the ChatGPT shock, mutual funds with higher AI exposure may have been more likely to adopt exploratory portfolio allocation behavior due to stronger incentives to capitalize on AI-related market opportunities. This leads to the following hypothesis:</w:t>
      </w:r>
    </w:p>
    <w:p w14:paraId="699A2261">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19C7C6C">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H3: AI-exposed mutual funds exhibited greater exploratory portfolio allocation behavior following the ChatGPT shock.</w:t>
      </w:r>
    </w:p>
    <w:p w14:paraId="17010A09">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0797BF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2.5 Research Gap</w:t>
      </w:r>
    </w:p>
    <w:p w14:paraId="08F16FB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Although previous studies have examined artificial intelligence, investor attention, and mutual fund behavior, several important gaps remain in the existing literature.</w:t>
      </w:r>
    </w:p>
    <w:p w14:paraId="0DBD5E5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435E18A">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First, most studies on artificial intelligence and financial markets focus primarily on firm-level stock reactions, AI adoption, or technological innovation, while comparatively limited attention has been paid to institutional capital allocation through mutual funds. Second, although investor attention literature suggests that highly visible events can influence capital flows, existing research has not sufficiently examined whether the emergence of generative artificial intelligence redirected investor capital toward AI-exposed mutual funds.</w:t>
      </w:r>
    </w:p>
    <w:p w14:paraId="6B93A57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EC8227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Third, prior mutual fund studies largely focus on traditional determinants of fund flows such as performance, risk, and fees, while relatively little evidence exists regarding how technological narratives interact with historical performance to shape investor behavior. Finally, limited research has explored whether institutional investors strategically adjusted their portfolio allocation behavior following the emergence of generative AI technologies.</w:t>
      </w:r>
    </w:p>
    <w:p w14:paraId="4415D08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8B7BEE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Therefore, this study seeks to address these gaps by examining how the ChatGPT shock influenced mutual fund flows, how prior performance moderated investor responses, and whether AI-exposed funds adopted more exploratory investment strategies after the emergence of generative artificial intelligence.</w:t>
      </w:r>
    </w:p>
    <w:p w14:paraId="71E57DE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7626058">
      <w:pPr>
        <w:spacing w:before="0" w:after="0" w:line="360" w:lineRule="auto"/>
        <w:jc w:val="left"/>
      </w:pPr>
      <w:r>
        <w:rPr>
          <w:rFonts w:ascii="Times New Roman" w:hAnsi="Times New Roman" w:eastAsia="Times New Roman"/>
          <w:b/>
          <w:i w:val="0"/>
          <w:sz w:val="28"/>
        </w:rPr>
        <w:t>3. Research Design and Methodology</w:t>
      </w:r>
    </w:p>
    <w:p w14:paraId="17AED7DB">
      <w:pPr>
        <w:spacing w:before="0" w:after="0" w:line="360" w:lineRule="auto"/>
        <w:jc w:val="left"/>
      </w:pPr>
      <w:r>
        <w:rPr>
          <w:rFonts w:ascii="Times New Roman" w:hAnsi="Times New Roman" w:eastAsia="Times New Roman"/>
          <w:b/>
          <w:i w:val="0"/>
          <w:sz w:val="24"/>
        </w:rPr>
        <w:t>3.1 Research Design</w:t>
      </w:r>
    </w:p>
    <w:p w14:paraId="2C5A547F">
      <w:pPr>
        <w:spacing w:before="0" w:after="0" w:line="360" w:lineRule="auto"/>
        <w:jc w:val="left"/>
      </w:pPr>
      <w:r>
        <w:rPr>
          <w:rFonts w:ascii="Times New Roman" w:hAnsi="Times New Roman" w:eastAsia="Times New Roman"/>
          <w:b w:val="0"/>
          <w:i w:val="0"/>
          <w:sz w:val="24"/>
        </w:rPr>
        <w:t>This study examines whether the emergence of generative artificial intelligence, represented by the public release of ChatGPT on November 30, 2022, changed mutual fund capital flows and portfolio allocation behavior. The release of ChatGPT rapidly increased investor attention toward AI-related industries and generated substantial optimism regarding the future economic potential of artificial intelligence technologies. As a result, the event provides a useful quasi-natural experiment for examining whether investors reallocated capital toward mutual funds with greater exposure to AI-related firms.</w:t>
      </w:r>
    </w:p>
    <w:p w14:paraId="71772BD3">
      <w:pPr>
        <w:spacing w:before="0" w:after="0" w:line="360" w:lineRule="auto"/>
        <w:jc w:val="left"/>
      </w:pPr>
    </w:p>
    <w:p w14:paraId="0AE4F7D6">
      <w:pPr>
        <w:spacing w:before="0" w:after="0" w:line="360" w:lineRule="auto"/>
        <w:jc w:val="left"/>
      </w:pPr>
      <w:r>
        <w:rPr>
          <w:rFonts w:ascii="Times New Roman" w:hAnsi="Times New Roman" w:eastAsia="Times New Roman"/>
          <w:b w:val="0"/>
          <w:i w:val="0"/>
          <w:sz w:val="24"/>
        </w:rPr>
        <w:t>To identify the impact of the ChatGPT shock on mutual fund flows, this study adopts a Difference-in-Differences (DiD) framework using pre-shock AI exposure as treatment intensity. The empirical strategy compares changes in fund flows between funds with relatively high AI exposure and those with lower AI exposure before and after the ChatGPT shock. Because AI exposure is measured prior to the release of ChatGPT, the treatment variable is predetermined and less likely to suffer from reverse causality.</w:t>
      </w:r>
    </w:p>
    <w:p>
      <w:pPr>
        <w:spacing w:after="120" w:line="276" w:lineRule="auto"/>
      </w:pPr>
      <w:r>
        <w:rPr>
          <w:rFonts w:ascii="Times New Roman" w:hAnsi="Times New Roman" w:eastAsia="Times New Roman"/>
          <w:b w:val="0"/>
          <w:i w:val="0"/>
          <w:sz w:val="24"/>
        </w:rPr>
        <w:t>The identifying assumption is that the timing of ChatGPT's public release was largely external to individual mutual fund portfolio decisions. Because the event occurred at a common point in time and was not caused by fund-level capital flows, it provides a quasi-natural experiment for studying investor attention. The use of predetermined treatment intensity further reduces reverse causality concerns: AI exposure is measured before November 2022, while the outcome of interest is the subsequent change in fund flows and portfolio allocation.</w:t>
      </w:r>
    </w:p>
    <w:p w14:paraId="2874DEBA">
      <w:pPr>
        <w:spacing w:before="0" w:after="0" w:line="360" w:lineRule="auto"/>
        <w:jc w:val="left"/>
      </w:pPr>
    </w:p>
    <w:p w14:paraId="0792E73A">
      <w:pPr>
        <w:spacing w:before="0" w:after="0" w:line="360" w:lineRule="auto"/>
        <w:jc w:val="left"/>
      </w:pPr>
      <w:r>
        <w:rPr>
          <w:rFonts w:ascii="Times New Roman" w:hAnsi="Times New Roman" w:eastAsia="Times New Roman"/>
          <w:b w:val="0"/>
          <w:i w:val="0"/>
          <w:sz w:val="24"/>
        </w:rPr>
        <w:t>The baseline empirical specification is:</w:t>
      </w:r>
    </w:p>
    <w:p w14:paraId="48A715D8">
      <w:pPr>
        <w:spacing w:before="0" w:after="0" w:line="360" w:lineRule="auto"/>
        <w:jc w:val="left"/>
      </w:pPr>
    </w:p>
    <w:p w14:paraId="22E339B5">
      <w:pPr>
        <w:spacing w:before="0" w:after="0" w:line="360" w:lineRule="auto"/>
        <w:ind w:left="360" w:right="3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w:t>
      </w:r>
    </w:p>
    <w:p w14:paraId="326EB07E">
      <w:pPr>
        <w:spacing w:before="0" w:after="0" w:line="360" w:lineRule="auto"/>
        <w:jc w:val="left"/>
      </w:pPr>
    </w:p>
    <w:p w14:paraId="359F7A07">
      <w:pPr>
        <w:spacing w:before="0" w:after="120" w:line="276" w:lineRule="auto"/>
        <w:jc w:val="left"/>
      </w:pPr>
      <w:r>
        <w:rPr>
          <w:rFonts w:ascii="Times New Roman" w:hAnsi="Times New Roman" w:eastAsia="Times New Roman"/>
          <w:b w:val="0"/>
          <w:i w:val="0"/>
          <w:sz w:val="24"/>
        </w:rPr>
        <w:t>where Flowi,t represents mutual fund flow for fund i in month t, AIExposureZi denotes standardized pre-shock AI exposure, and Postt equals one for periods after December 2022. Fund fixed effects (μi) absorb time-invariant fund characteristics such as investment style, fund family structure, managerial characteristics, and persistent differences in investor clientele. Time fixed effects (λt) absorb common macroeconomic shocks, market-wide trends, and aggregate technology-sector movements that affect all funds in the same month.</w:t>
      </w:r>
    </w:p>
    <w:p>
      <w:pPr>
        <w:spacing w:after="120" w:line="276" w:lineRule="auto"/>
      </w:pPr>
      <w:r>
        <w:rPr>
          <w:rFonts w:ascii="Times New Roman" w:hAnsi="Times New Roman" w:eastAsia="Times New Roman"/>
          <w:b w:val="0"/>
          <w:i w:val="0"/>
          <w:sz w:val="24"/>
        </w:rPr>
        <w:t>Standard errors are clustered at the fund level to account for serial correlation, heteroskedasticity, and within-fund dependence over time. This adjustment is important because fund flows are persistent and repeated observations for the same fund are unlikely to be independent.</w:t>
      </w:r>
    </w:p>
    <w:p w14:paraId="015268A5">
      <w:pPr>
        <w:spacing w:before="0" w:after="0" w:line="360" w:lineRule="auto"/>
        <w:jc w:val="left"/>
      </w:pPr>
    </w:p>
    <w:p w14:paraId="1178CAD3">
      <w:pPr>
        <w:spacing w:before="0" w:after="0" w:line="360" w:lineRule="auto"/>
        <w:jc w:val="left"/>
      </w:pPr>
      <w:r>
        <w:rPr>
          <w:rFonts w:ascii="Times New Roman" w:hAnsi="Times New Roman" w:eastAsia="Times New Roman"/>
          <w:b w:val="0"/>
          <w:i w:val="0"/>
          <w:sz w:val="24"/>
        </w:rPr>
        <w:t>To improve estimation reliability, the baseline model further includes lagged control variables:</w:t>
      </w:r>
    </w:p>
    <w:p w14:paraId="23F8998A">
      <w:pPr>
        <w:spacing w:before="0" w:after="0" w:line="360" w:lineRule="auto"/>
        <w:jc w:val="left"/>
      </w:pPr>
    </w:p>
    <w:p w14:paraId="06F6A8CA">
      <w:pPr>
        <w:spacing w:before="0" w:after="0" w:line="360" w:lineRule="auto"/>
        <w:ind w:left="360" w:right="3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（2）</w:t>
      </w:r>
    </w:p>
    <w:p w14:paraId="6FE7B811">
      <w:pPr>
        <w:spacing w:before="0" w:after="0" w:line="360" w:lineRule="auto"/>
        <w:jc w:val="left"/>
      </w:pPr>
    </w:p>
    <w:p w14:paraId="7C5E8D69">
      <w:pPr>
        <w:spacing w:before="0" w:after="0" w:line="360" w:lineRule="auto"/>
        <w:jc w:val="left"/>
      </w:pPr>
      <w:r>
        <w:rPr>
          <w:rFonts w:ascii="Times New Roman" w:hAnsi="Times New Roman" w:eastAsia="Times New Roman"/>
          <w:i w:val="0"/>
          <w:sz w:val="24"/>
        </w:rPr>
        <w:t xml:space="preserve">where </w:t>
      </w:r>
      <w:r>
        <w:rPr>
          <w:rFonts w:ascii="Times New Roman" w:hAnsi="Times New Roman" w:eastAsia="Times New Roman"/>
          <w:b/>
          <w:i/>
          <w:sz w:val="24"/>
        </w:rPr>
        <w:t>X</w:t>
      </w:r>
      <w:r>
        <w:rPr>
          <w:rFonts w:ascii="Times New Roman" w:hAnsi="Times New Roman" w:eastAsia="Times New Roman"/>
          <w:b/>
          <w:i/>
          <w:sz w:val="24"/>
          <w:vertAlign w:val="subscript"/>
        </w:rPr>
        <w:t>i,t-1</w:t>
      </w:r>
      <w:r>
        <w:rPr>
          <w:rFonts w:ascii="Times New Roman" w:hAnsi="Times New Roman" w:eastAsia="Times New Roman"/>
          <w:i w:val="0"/>
          <w:sz w:val="24"/>
        </w:rPr>
        <w:t xml:space="preserve"> includes lagged log assets under management, lagged fund return, and lagged fund flow.</w:t>
      </w:r>
    </w:p>
    <w:p w14:paraId="657E2EC8">
      <w:pPr>
        <w:spacing w:before="0" w:after="0" w:line="360" w:lineRule="auto"/>
        <w:jc w:val="left"/>
      </w:pPr>
    </w:p>
    <w:p w14:paraId="7CC3A734">
      <w:pPr>
        <w:spacing w:before="0" w:after="0" w:line="360" w:lineRule="auto"/>
        <w:jc w:val="left"/>
      </w:pPr>
      <w:r>
        <w:rPr>
          <w:rFonts w:ascii="Times New Roman" w:hAnsi="Times New Roman" w:eastAsia="Times New Roman"/>
          <w:b w:val="0"/>
          <w:i w:val="0"/>
          <w:sz w:val="24"/>
        </w:rPr>
        <w:t>In addition to the baseline DiD specification, this study estimates an event-study model to examine dynamic treatment effects and evaluate the parallel-trend assumption. Heterogeneity analysis and robustness tests are also conducted to examine whether the results remain stable under alternative treatment definitions and model specifications.</w:t>
      </w:r>
    </w:p>
    <w:p w14:paraId="21E9F329">
      <w:pPr>
        <w:spacing w:before="0" w:after="0" w:line="360" w:lineRule="auto"/>
        <w:jc w:val="left"/>
      </w:pPr>
    </w:p>
    <w:p w14:paraId="70991E40">
      <w:pPr>
        <w:spacing w:before="0" w:after="0" w:line="360" w:lineRule="auto"/>
        <w:jc w:val="left"/>
      </w:pPr>
      <w:r>
        <w:rPr>
          <w:rFonts w:ascii="Times New Roman" w:hAnsi="Times New Roman" w:eastAsia="Times New Roman"/>
          <w:b/>
          <w:i w:val="0"/>
          <w:sz w:val="24"/>
        </w:rPr>
        <w:t>3.2 Data Sources</w:t>
      </w:r>
    </w:p>
    <w:p w14:paraId="11F55C0F">
      <w:pPr>
        <w:spacing w:before="0" w:after="0" w:line="360" w:lineRule="auto"/>
        <w:jc w:val="left"/>
      </w:pPr>
      <w:r>
        <w:rPr>
          <w:rFonts w:ascii="Times New Roman" w:hAnsi="Times New Roman" w:eastAsia="Times New Roman"/>
          <w:b w:val="0"/>
          <w:i w:val="0"/>
          <w:sz w:val="24"/>
        </w:rPr>
        <w:t>This study combines multiple datasets to construct a comprehensive panel of U.S. mutual funds and their AI-related portfolio exposure.</w:t>
      </w:r>
    </w:p>
    <w:p w14:paraId="0A8F7088">
      <w:pPr>
        <w:spacing w:before="0" w:after="0" w:line="360" w:lineRule="auto"/>
        <w:jc w:val="left"/>
      </w:pPr>
    </w:p>
    <w:p w14:paraId="16DFDD79">
      <w:pPr>
        <w:spacing w:before="0" w:after="0" w:line="360" w:lineRule="auto"/>
        <w:jc w:val="left"/>
      </w:pPr>
      <w:r>
        <w:rPr>
          <w:rFonts w:ascii="Times New Roman" w:hAnsi="Times New Roman" w:eastAsia="Times New Roman"/>
          <w:b w:val="0"/>
          <w:i w:val="0"/>
          <w:sz w:val="24"/>
        </w:rPr>
        <w:t xml:space="preserve">The first dataset is the AI exposure dataset, obtained from the file ai_exposure_larger100.csv. The raw dataset contains 14,430 fund-year observations covering 2,405 unique mutual funds from 2020 to 2025. The key variable in this dataset is </w:t>
      </w:r>
      <w:r>
        <w:rPr>
          <w:rFonts w:ascii="Times New Roman" w:hAnsi="Times New Roman" w:eastAsia="Times New Roman"/>
          <w:b/>
          <w:i w:val="0"/>
          <w:sz w:val="24"/>
        </w:rPr>
        <w:t>avg_of_avg_percent_tna</w:t>
      </w:r>
      <w:r>
        <w:rPr>
          <w:rFonts w:ascii="Times New Roman" w:hAnsi="Times New Roman" w:eastAsia="Times New Roman"/>
          <w:b w:val="0"/>
          <w:i w:val="0"/>
          <w:sz w:val="24"/>
        </w:rPr>
        <w:t xml:space="preserve">, which is renamed as </w:t>
      </w:r>
      <w:r>
        <w:rPr>
          <w:rFonts w:ascii="Times New Roman" w:hAnsi="Times New Roman" w:eastAsia="Times New Roman"/>
          <w:b/>
          <w:i w:val="0"/>
          <w:sz w:val="24"/>
        </w:rPr>
        <w:t>AI_exposure</w:t>
      </w:r>
      <w:r>
        <w:rPr>
          <w:rFonts w:ascii="Times New Roman" w:hAnsi="Times New Roman" w:eastAsia="Times New Roman"/>
          <w:b w:val="0"/>
          <w:i w:val="0"/>
          <w:sz w:val="24"/>
        </w:rPr>
        <w:t>. This variable measures the percentage of fund holdings invested in AI-related firms.</w:t>
      </w:r>
    </w:p>
    <w:p w14:paraId="24BE5E24">
      <w:pPr>
        <w:spacing w:before="0" w:after="0" w:line="360" w:lineRule="auto"/>
        <w:jc w:val="left"/>
      </w:pPr>
    </w:p>
    <w:p w14:paraId="26BFA8FC">
      <w:pPr>
        <w:spacing w:before="0" w:after="120" w:line="276" w:lineRule="auto"/>
        <w:jc w:val="left"/>
      </w:pPr>
      <w:r>
        <w:rPr>
          <w:rFonts w:ascii="Times New Roman" w:hAnsi="Times New Roman" w:eastAsia="Times New Roman"/>
          <w:b w:val="0"/>
          <w:i w:val="0"/>
          <w:sz w:val="24"/>
        </w:rPr>
        <w:t>The second dataset is the CRSP Mutual Fund Database obtained through WRDS. Monthly mutual fund information is downloaded from the table crsp_q_mutualfunds.monthly_tna_ret_nav. The key variables are summarized below:</w:t>
      </w:r>
    </w:p>
    <w:p>
      <w:pPr>
        <w:spacing w:before="120" w:after="80"/>
        <w:jc w:val="center"/>
      </w:pPr>
      <w:r>
        <w:rPr>
          <w:rFonts w:ascii="Times New Roman" w:hAnsi="Times New Roman" w:eastAsia="Times New Roman"/>
          <w:b/>
          <w:sz w:val="22"/>
        </w:rPr>
        <w:t>Table 3.1. CRSP Monthly Mutual Fund Variables</w:t>
      </w:r>
    </w:p>
    <w:tbl>
      <w:tblPr>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769"/>
        <w:gridCol w:w="2769"/>
        <w:gridCol w:w="2769"/>
      </w:tblGrid>
      <w:tr>
        <w:tc>
          <w:tcPr>
            <w:tcW w:type="dxa" w:w="2769"/>
            <w:shd w:fill="D9EAF7"/>
            <w:tcMar>
              <w:top w:w="80" w:type="dxa"/>
              <w:start w:w="90" w:type="dxa"/>
              <w:bottom w:w="80" w:type="dxa"/>
              <w:end w:w="90" w:type="dxa"/>
            </w:tcMar>
            <w:vAlign w:val="center"/>
          </w:tcPr>
          <w:p>
            <w:pPr>
              <w:jc w:val="center"/>
            </w:pPr>
            <w:r/>
            <w:r>
              <w:rPr>
                <w:rFonts w:ascii="Times New Roman" w:hAnsi="Times New Roman" w:eastAsia="Times New Roman"/>
                <w:b/>
                <w:i w:val="0"/>
                <w:sz w:val="18"/>
              </w:rPr>
              <w:t>Variable</w:t>
            </w:r>
          </w:p>
        </w:tc>
        <w:tc>
          <w:tcPr>
            <w:tcW w:type="dxa" w:w="2769"/>
            <w:shd w:fill="D9EAF7"/>
            <w:tcMar>
              <w:top w:w="80" w:type="dxa"/>
              <w:start w:w="90" w:type="dxa"/>
              <w:bottom w:w="80" w:type="dxa"/>
              <w:end w:w="90" w:type="dxa"/>
            </w:tcMar>
            <w:vAlign w:val="center"/>
          </w:tcPr>
          <w:p>
            <w:pPr>
              <w:jc w:val="center"/>
            </w:pPr>
            <w:r/>
            <w:r>
              <w:rPr>
                <w:rFonts w:ascii="Times New Roman" w:hAnsi="Times New Roman" w:eastAsia="Times New Roman"/>
                <w:b/>
                <w:i w:val="0"/>
                <w:sz w:val="18"/>
              </w:rPr>
              <w:t>Meaning</w:t>
            </w:r>
          </w:p>
        </w:tc>
        <w:tc>
          <w:tcPr>
            <w:tcW w:type="dxa" w:w="2769"/>
            <w:shd w:fill="D9EAF7"/>
            <w:tcMar>
              <w:top w:w="80" w:type="dxa"/>
              <w:start w:w="90" w:type="dxa"/>
              <w:bottom w:w="80" w:type="dxa"/>
              <w:end w:w="90" w:type="dxa"/>
            </w:tcMar>
            <w:vAlign w:val="center"/>
          </w:tcPr>
          <w:p>
            <w:pPr>
              <w:jc w:val="center"/>
            </w:pPr>
            <w:r/>
            <w:r>
              <w:rPr>
                <w:rFonts w:ascii="Times New Roman" w:hAnsi="Times New Roman" w:eastAsia="Times New Roman"/>
                <w:b/>
                <w:i w:val="0"/>
                <w:sz w:val="18"/>
              </w:rPr>
              <w:t>Use in Empirical Analysis</w:t>
            </w:r>
          </w:p>
        </w:tc>
      </w:tr>
      <w:tr>
        <w:tc>
          <w:tcPr>
            <w:tcW w:type="dxa" w:w="2769"/>
            <w:tcMar>
              <w:top w:w="80" w:type="dxa"/>
              <w:start w:w="90" w:type="dxa"/>
              <w:bottom w:w="80" w:type="dxa"/>
              <w:end w:w="90" w:type="dxa"/>
            </w:tcMar>
            <w:vAlign w:val="center"/>
          </w:tcPr>
          <w:p>
            <w:pPr>
              <w:jc w:val="left"/>
            </w:pPr>
            <w:r/>
            <w:r>
              <w:rPr>
                <w:rFonts w:ascii="Times New Roman" w:hAnsi="Times New Roman" w:eastAsia="Times New Roman"/>
                <w:b/>
                <w:i w:val="0"/>
                <w:sz w:val="18"/>
              </w:rPr>
              <w:t>crsp_fundno</w:t>
            </w:r>
          </w:p>
        </w:tc>
        <w:tc>
          <w:tcPr>
            <w:tcW w:type="dxa" w:w="2769"/>
            <w:tcMar>
              <w:top w:w="80" w:type="dxa"/>
              <w:start w:w="90" w:type="dxa"/>
              <w:bottom w:w="80" w:type="dxa"/>
              <w:end w:w="90" w:type="dxa"/>
            </w:tcMar>
            <w:vAlign w:val="center"/>
          </w:tcPr>
          <w:p>
            <w:pPr>
              <w:jc w:val="left"/>
            </w:pPr>
            <w:r/>
            <w:r>
              <w:rPr>
                <w:rFonts w:ascii="Times New Roman" w:hAnsi="Times New Roman" w:eastAsia="Times New Roman"/>
                <w:b w:val="0"/>
                <w:i w:val="0"/>
                <w:sz w:val="18"/>
              </w:rPr>
              <w:t>Unique CRSP mutual fund identifier</w:t>
            </w:r>
          </w:p>
        </w:tc>
        <w:tc>
          <w:tcPr>
            <w:tcW w:type="dxa" w:w="2769"/>
            <w:tcMar>
              <w:top w:w="80" w:type="dxa"/>
              <w:start w:w="90" w:type="dxa"/>
              <w:bottom w:w="80" w:type="dxa"/>
              <w:end w:w="90" w:type="dxa"/>
            </w:tcMar>
            <w:vAlign w:val="center"/>
          </w:tcPr>
          <w:p>
            <w:pPr>
              <w:jc w:val="left"/>
            </w:pPr>
            <w:r/>
            <w:r>
              <w:rPr>
                <w:rFonts w:ascii="Times New Roman" w:hAnsi="Times New Roman" w:eastAsia="Times New Roman"/>
                <w:b w:val="0"/>
                <w:i w:val="0"/>
                <w:sz w:val="18"/>
              </w:rPr>
              <w:t>Matches AI exposure data to the monthly fund panel and defines fund-level fixed effects.</w:t>
            </w:r>
          </w:p>
        </w:tc>
      </w:tr>
      <w:tr>
        <w:tc>
          <w:tcPr>
            <w:tcW w:type="dxa" w:w="2769"/>
            <w:tcMar>
              <w:top w:w="80" w:type="dxa"/>
              <w:start w:w="90" w:type="dxa"/>
              <w:bottom w:w="80" w:type="dxa"/>
              <w:end w:w="90" w:type="dxa"/>
            </w:tcMar>
            <w:vAlign w:val="center"/>
          </w:tcPr>
          <w:p>
            <w:pPr>
              <w:jc w:val="left"/>
            </w:pPr>
            <w:r/>
            <w:r>
              <w:rPr>
                <w:rFonts w:ascii="Times New Roman" w:hAnsi="Times New Roman" w:eastAsia="Times New Roman"/>
                <w:b/>
                <w:i w:val="0"/>
                <w:sz w:val="18"/>
              </w:rPr>
              <w:t>caldt</w:t>
            </w:r>
          </w:p>
        </w:tc>
        <w:tc>
          <w:tcPr>
            <w:tcW w:type="dxa" w:w="2769"/>
            <w:tcMar>
              <w:top w:w="80" w:type="dxa"/>
              <w:start w:w="90" w:type="dxa"/>
              <w:bottom w:w="80" w:type="dxa"/>
              <w:end w:w="90" w:type="dxa"/>
            </w:tcMar>
            <w:vAlign w:val="center"/>
          </w:tcPr>
          <w:p>
            <w:pPr>
              <w:jc w:val="left"/>
            </w:pPr>
            <w:r/>
            <w:r>
              <w:rPr>
                <w:rFonts w:ascii="Times New Roman" w:hAnsi="Times New Roman" w:eastAsia="Times New Roman"/>
                <w:b w:val="0"/>
                <w:i w:val="0"/>
                <w:sz w:val="18"/>
              </w:rPr>
              <w:t>Monthly calendar date</w:t>
            </w:r>
          </w:p>
        </w:tc>
        <w:tc>
          <w:tcPr>
            <w:tcW w:type="dxa" w:w="2769"/>
            <w:tcMar>
              <w:top w:w="80" w:type="dxa"/>
              <w:start w:w="90" w:type="dxa"/>
              <w:bottom w:w="80" w:type="dxa"/>
              <w:end w:w="90" w:type="dxa"/>
            </w:tcMar>
            <w:vAlign w:val="center"/>
          </w:tcPr>
          <w:p>
            <w:pPr>
              <w:jc w:val="left"/>
            </w:pPr>
            <w:r/>
            <w:r>
              <w:rPr>
                <w:rFonts w:ascii="Times New Roman" w:hAnsi="Times New Roman" w:eastAsia="Times New Roman"/>
                <w:b w:val="0"/>
                <w:i w:val="0"/>
                <w:sz w:val="18"/>
              </w:rPr>
              <w:t>Defines the time dimension, the post-treatment indicator, and monthly fixed effects.</w:t>
            </w:r>
          </w:p>
        </w:tc>
      </w:tr>
      <w:tr>
        <w:tc>
          <w:tcPr>
            <w:tcW w:type="dxa" w:w="2769"/>
            <w:tcMar>
              <w:top w:w="80" w:type="dxa"/>
              <w:start w:w="90" w:type="dxa"/>
              <w:bottom w:w="80" w:type="dxa"/>
              <w:end w:w="90" w:type="dxa"/>
            </w:tcMar>
            <w:vAlign w:val="center"/>
          </w:tcPr>
          <w:p>
            <w:pPr>
              <w:jc w:val="left"/>
            </w:pPr>
            <w:r/>
            <w:r>
              <w:rPr>
                <w:rFonts w:ascii="Times New Roman" w:hAnsi="Times New Roman" w:eastAsia="Times New Roman"/>
                <w:b/>
                <w:i w:val="0"/>
                <w:sz w:val="18"/>
              </w:rPr>
              <w:t>mtna</w:t>
            </w:r>
          </w:p>
        </w:tc>
        <w:tc>
          <w:tcPr>
            <w:tcW w:type="dxa" w:w="2769"/>
            <w:tcMar>
              <w:top w:w="80" w:type="dxa"/>
              <w:start w:w="90" w:type="dxa"/>
              <w:bottom w:w="80" w:type="dxa"/>
              <w:end w:w="90" w:type="dxa"/>
            </w:tcMar>
            <w:vAlign w:val="center"/>
          </w:tcPr>
          <w:p>
            <w:pPr>
              <w:jc w:val="left"/>
            </w:pPr>
            <w:r/>
            <w:r>
              <w:rPr>
                <w:rFonts w:ascii="Times New Roman" w:hAnsi="Times New Roman" w:eastAsia="Times New Roman"/>
                <w:b w:val="0"/>
                <w:i w:val="0"/>
                <w:sz w:val="18"/>
              </w:rPr>
              <w:t>Monthly total net assets</w:t>
            </w:r>
          </w:p>
        </w:tc>
        <w:tc>
          <w:tcPr>
            <w:tcW w:type="dxa" w:w="2769"/>
            <w:tcMar>
              <w:top w:w="80" w:type="dxa"/>
              <w:start w:w="90" w:type="dxa"/>
              <w:bottom w:w="80" w:type="dxa"/>
              <w:end w:w="90" w:type="dxa"/>
            </w:tcMar>
            <w:vAlign w:val="center"/>
          </w:tcPr>
          <w:p>
            <w:pPr>
              <w:jc w:val="left"/>
            </w:pPr>
            <w:r/>
            <w:r>
              <w:rPr>
                <w:rFonts w:ascii="Times New Roman" w:hAnsi="Times New Roman" w:eastAsia="Times New Roman"/>
                <w:b w:val="0"/>
                <w:i w:val="0"/>
                <w:sz w:val="18"/>
              </w:rPr>
              <w:t>Used to calculate fund flows and lagged fund size.</w:t>
            </w:r>
          </w:p>
        </w:tc>
      </w:tr>
      <w:tr>
        <w:tc>
          <w:tcPr>
            <w:tcW w:type="dxa" w:w="2769"/>
            <w:tcMar>
              <w:top w:w="80" w:type="dxa"/>
              <w:start w:w="90" w:type="dxa"/>
              <w:bottom w:w="80" w:type="dxa"/>
              <w:end w:w="90" w:type="dxa"/>
            </w:tcMar>
            <w:vAlign w:val="center"/>
          </w:tcPr>
          <w:p>
            <w:pPr>
              <w:jc w:val="left"/>
            </w:pPr>
            <w:r/>
            <w:r>
              <w:rPr>
                <w:rFonts w:ascii="Times New Roman" w:hAnsi="Times New Roman" w:eastAsia="Times New Roman"/>
                <w:b/>
                <w:i w:val="0"/>
                <w:sz w:val="18"/>
              </w:rPr>
              <w:t>mret</w:t>
            </w:r>
          </w:p>
        </w:tc>
        <w:tc>
          <w:tcPr>
            <w:tcW w:type="dxa" w:w="2769"/>
            <w:tcMar>
              <w:top w:w="80" w:type="dxa"/>
              <w:start w:w="90" w:type="dxa"/>
              <w:bottom w:w="80" w:type="dxa"/>
              <w:end w:w="90" w:type="dxa"/>
            </w:tcMar>
            <w:vAlign w:val="center"/>
          </w:tcPr>
          <w:p>
            <w:pPr>
              <w:jc w:val="left"/>
            </w:pPr>
            <w:r/>
            <w:r>
              <w:rPr>
                <w:rFonts w:ascii="Times New Roman" w:hAnsi="Times New Roman" w:eastAsia="Times New Roman"/>
                <w:b w:val="0"/>
                <w:i w:val="0"/>
                <w:sz w:val="18"/>
              </w:rPr>
              <w:t>Monthly fund return</w:t>
            </w:r>
          </w:p>
        </w:tc>
        <w:tc>
          <w:tcPr>
            <w:tcW w:type="dxa" w:w="2769"/>
            <w:tcMar>
              <w:top w:w="80" w:type="dxa"/>
              <w:start w:w="90" w:type="dxa"/>
              <w:bottom w:w="80" w:type="dxa"/>
              <w:end w:w="90" w:type="dxa"/>
            </w:tcMar>
            <w:vAlign w:val="center"/>
          </w:tcPr>
          <w:p>
            <w:pPr>
              <w:jc w:val="left"/>
            </w:pPr>
            <w:r/>
            <w:r>
              <w:rPr>
                <w:rFonts w:ascii="Times New Roman" w:hAnsi="Times New Roman" w:eastAsia="Times New Roman"/>
                <w:b w:val="0"/>
                <w:i w:val="0"/>
                <w:sz w:val="18"/>
              </w:rPr>
              <w:t>Used to remove return-driven asset growth from flows and to construct lagged return controls.</w:t>
            </w:r>
          </w:p>
        </w:tc>
      </w:tr>
    </w:tbl>
    <w:p>
      <w:pPr>
        <w:spacing w:after="120" w:line="276" w:lineRule="auto"/>
      </w:pPr>
      <w:r>
        <w:rPr>
          <w:rFonts w:ascii="Times New Roman" w:hAnsi="Times New Roman" w:eastAsia="Times New Roman"/>
          <w:b w:val="0"/>
          <w:i w:val="0"/>
          <w:sz w:val="24"/>
        </w:rPr>
        <w:t>These variables provide the minimum structure required to construct the fund-month panel: crsp_fundno identifies funds, caldt defines the time index, mtna is used to measure changes in assets under management, and mret allows fund flows to be adjusted for mechanical return effects.</w:t>
      </w:r>
    </w:p>
    <w:p w14:paraId="7628D44A">
      <w:pPr>
        <w:spacing w:before="0" w:after="0" w:line="360" w:lineRule="auto"/>
        <w:jc w:val="left"/>
      </w:pPr>
    </w:p>
    <w:p w14:paraId="105EFC32">
      <w:pPr>
        <w:spacing w:before="0" w:after="0" w:line="360" w:lineRule="auto"/>
        <w:jc w:val="left"/>
      </w:pPr>
    </w:p>
    <w:p w14:paraId="45B12E2C">
      <w:pPr>
        <w:spacing w:before="0" w:after="0" w:line="360" w:lineRule="auto"/>
        <w:jc w:val="left"/>
      </w:pPr>
      <w:r>
        <w:rPr>
          <w:rFonts w:ascii="Times New Roman" w:hAnsi="Times New Roman" w:eastAsia="Times New Roman"/>
          <w:b w:val="0"/>
          <w:i w:val="0"/>
          <w:sz w:val="24"/>
        </w:rPr>
        <w:t>The sample period spans from January 2020 to December 2025. Among the 1,425 funds retained in the AI exposure sample, 1,269 funds are successfully matched with CRSP monthly mutual fund data. The initial monthly panel contains 83,984 fund-month observations.</w:t>
      </w:r>
    </w:p>
    <w:p w14:paraId="41C53270">
      <w:pPr>
        <w:spacing w:before="0" w:after="0" w:line="360" w:lineRule="auto"/>
        <w:jc w:val="left"/>
      </w:pPr>
    </w:p>
    <w:p w14:paraId="3BCFB669">
      <w:pPr>
        <w:spacing w:before="0" w:after="0" w:line="360" w:lineRule="auto"/>
        <w:jc w:val="left"/>
      </w:pPr>
      <w:r>
        <w:rPr>
          <w:rFonts w:ascii="Times New Roman" w:hAnsi="Times New Roman" w:eastAsia="Times New Roman"/>
          <w:b w:val="0"/>
          <w:i w:val="0"/>
          <w:sz w:val="24"/>
        </w:rPr>
        <w:t>The third dataset contains Fama-French factor data loaded from F-F_Research_Data_Factors-2.csv. The dataset provides monthly factor returns for the market excess return (</w:t>
      </w:r>
      <w:r>
        <w:rPr>
          <w:rFonts w:ascii="Times New Roman" w:hAnsi="Times New Roman" w:eastAsia="Times New Roman"/>
          <w:b/>
          <w:i w:val="0"/>
          <w:sz w:val="24"/>
        </w:rPr>
        <w:t>MKT_RF</w:t>
      </w:r>
      <w:r>
        <w:rPr>
          <w:rFonts w:ascii="Times New Roman" w:hAnsi="Times New Roman" w:eastAsia="Times New Roman"/>
          <w:b w:val="0"/>
          <w:i w:val="0"/>
          <w:sz w:val="24"/>
        </w:rPr>
        <w:t>), size factor (</w:t>
      </w:r>
      <w:r>
        <w:rPr>
          <w:rFonts w:ascii="Times New Roman" w:hAnsi="Times New Roman" w:eastAsia="Times New Roman"/>
          <w:b/>
          <w:i w:val="0"/>
          <w:sz w:val="24"/>
        </w:rPr>
        <w:t>SMB</w:t>
      </w:r>
      <w:r>
        <w:rPr>
          <w:rFonts w:ascii="Times New Roman" w:hAnsi="Times New Roman" w:eastAsia="Times New Roman"/>
          <w:b w:val="0"/>
          <w:i w:val="0"/>
          <w:sz w:val="24"/>
        </w:rPr>
        <w:t>), value factor (</w:t>
      </w:r>
      <w:r>
        <w:rPr>
          <w:rFonts w:ascii="Times New Roman" w:hAnsi="Times New Roman" w:eastAsia="Times New Roman"/>
          <w:b/>
          <w:i w:val="0"/>
          <w:sz w:val="24"/>
        </w:rPr>
        <w:t>HML</w:t>
      </w:r>
      <w:r>
        <w:rPr>
          <w:rFonts w:ascii="Times New Roman" w:hAnsi="Times New Roman" w:eastAsia="Times New Roman"/>
          <w:b w:val="0"/>
          <w:i w:val="0"/>
          <w:sz w:val="24"/>
        </w:rPr>
        <w:t>), and risk-free rate (</w:t>
      </w:r>
      <w:r>
        <w:rPr>
          <w:rFonts w:ascii="Times New Roman" w:hAnsi="Times New Roman" w:eastAsia="Times New Roman"/>
          <w:b/>
          <w:i w:val="0"/>
          <w:sz w:val="24"/>
        </w:rPr>
        <w:t>RF</w:t>
      </w:r>
      <w:r>
        <w:rPr>
          <w:rFonts w:ascii="Times New Roman" w:hAnsi="Times New Roman" w:eastAsia="Times New Roman"/>
          <w:b w:val="0"/>
          <w:i w:val="0"/>
          <w:sz w:val="24"/>
        </w:rPr>
        <w:t>). All percentage values are converted into decimal form before estimation.</w:t>
      </w:r>
    </w:p>
    <w:p w14:paraId="266C9A54">
      <w:pPr>
        <w:spacing w:before="0" w:after="0" w:line="360" w:lineRule="auto"/>
        <w:jc w:val="left"/>
      </w:pPr>
    </w:p>
    <w:p w14:paraId="4F1C5D66">
      <w:pPr>
        <w:spacing w:before="0" w:after="0" w:line="360" w:lineRule="auto"/>
        <w:jc w:val="left"/>
      </w:pPr>
      <w:r>
        <w:rPr>
          <w:rFonts w:ascii="Times New Roman" w:hAnsi="Times New Roman" w:eastAsia="Times New Roman"/>
          <w:b w:val="0"/>
          <w:i w:val="0"/>
          <w:sz w:val="24"/>
        </w:rPr>
        <w:t>To examine portfolio allocation behavior in H3, this study additionally uses portfolio mapping and holdings datasets from CRSP. Fund-to-portfolio mapping is obtained from the table crsp_q_mutualfunds.portnomap, while portfolio holdings information is downloaded from crsp_q_mutualfunds.holdings. The holdings dataset contains 7,907,611 raw observations between 2020 and 2025 and includes variables such as ticker, market value, and portfolio weight.</w:t>
      </w:r>
    </w:p>
    <w:p w14:paraId="17A52B89">
      <w:pPr>
        <w:spacing w:before="0" w:after="0" w:line="360" w:lineRule="auto"/>
        <w:jc w:val="left"/>
      </w:pPr>
    </w:p>
    <w:p w14:paraId="051A4225">
      <w:pPr>
        <w:spacing w:before="0" w:after="0" w:line="360" w:lineRule="auto"/>
        <w:jc w:val="left"/>
      </w:pPr>
      <w:r>
        <w:rPr>
          <w:rFonts w:ascii="Times New Roman" w:hAnsi="Times New Roman" w:eastAsia="Times New Roman"/>
          <w:b w:val="0"/>
          <w:i w:val="0"/>
          <w:sz w:val="24"/>
        </w:rPr>
        <w:t>AI-related firms are identified using a predefined AI ticker list including major technology and semiconductor companies such as NVDA, AMD, MSFT, GOOGL, META, AMZN, AVGO, and ASML.</w:t>
      </w:r>
    </w:p>
    <w:p w14:paraId="1A797335">
      <w:pPr>
        <w:spacing w:before="0" w:after="0" w:line="360" w:lineRule="auto"/>
        <w:jc w:val="left"/>
      </w:pPr>
    </w:p>
    <w:p w14:paraId="3FCC3393">
      <w:pPr>
        <w:spacing w:before="0" w:after="0" w:line="360" w:lineRule="auto"/>
        <w:jc w:val="left"/>
      </w:pPr>
      <w:r>
        <w:rPr>
          <w:rFonts w:ascii="Times New Roman" w:hAnsi="Times New Roman" w:eastAsia="Times New Roman"/>
          <w:b/>
          <w:i w:val="0"/>
          <w:sz w:val="24"/>
        </w:rPr>
        <w:t>3.3 Sample Construction</w:t>
      </w:r>
    </w:p>
    <w:p w14:paraId="373C462F">
      <w:pPr>
        <w:spacing w:before="0" w:after="0" w:line="360" w:lineRule="auto"/>
        <w:jc w:val="left"/>
      </w:pPr>
      <w:r>
        <w:rPr>
          <w:rFonts w:ascii="Times New Roman" w:hAnsi="Times New Roman" w:eastAsia="Times New Roman"/>
          <w:b w:val="0"/>
          <w:i w:val="0"/>
          <w:sz w:val="24"/>
        </w:rPr>
        <w:t>The sample construction process proceeds in several stages.</w:t>
      </w:r>
    </w:p>
    <w:p w14:paraId="761A0E88">
      <w:pPr>
        <w:spacing w:before="0" w:after="0" w:line="360" w:lineRule="auto"/>
        <w:jc w:val="left"/>
      </w:pPr>
    </w:p>
    <w:p w14:paraId="4F4550F2">
      <w:pPr>
        <w:spacing w:before="0" w:after="0" w:line="360" w:lineRule="auto"/>
        <w:jc w:val="left"/>
      </w:pPr>
      <w:r>
        <w:rPr>
          <w:rFonts w:ascii="Times New Roman" w:hAnsi="Times New Roman" w:eastAsia="Times New Roman"/>
          <w:b w:val="0"/>
          <w:i w:val="0"/>
          <w:sz w:val="24"/>
        </w:rPr>
        <w:t>First, pre-shock AI exposure is constructed by averaging fund-level AI exposure between 2020 and 2022:</w:t>
      </w:r>
    </w:p>
    <w:p w14:paraId="00EDD911">
      <w:pPr>
        <w:spacing w:before="0" w:after="0" w:line="360" w:lineRule="auto"/>
        <w:jc w:val="left"/>
      </w:pPr>
    </w:p>
    <w:p w14:paraId="70E6F09E">
      <w:pPr>
        <w:spacing w:before="0" w:after="0" w:line="360" w:lineRule="auto"/>
        <w:ind w:left="360" w:right="360"/>
        <w:jc w:val="center"/>
      </w:pPr>
      <w:r>
        <w:rPr>
          <w:rFonts w:ascii="Times New Roman" w:hAnsi="Times New Roman" w:eastAsia="Times New Roman"/>
          <w:i/>
          <w:sz w:val="24"/>
        </w:rPr>
        <w:t>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 1/N</w:t>
      </w:r>
      <w:r>
        <w:rPr>
          <w:rFonts w:ascii="Times New Roman" w:hAnsi="Times New Roman" w:eastAsia="Times New Roman"/>
          <w:i/>
          <w:sz w:val="24"/>
          <w:vertAlign w:val="subscript"/>
        </w:rPr>
        <w:t>i</w:t>
      </w:r>
      <w:r>
        <w:rPr>
          <w:rFonts w:ascii="Times New Roman" w:hAnsi="Times New Roman" w:eastAsia="Times New Roman"/>
          <w:i/>
          <w:sz w:val="24"/>
        </w:rPr>
        <w:t xml:space="preserve"> × ∑</w:t>
      </w:r>
      <w:r>
        <w:rPr>
          <w:rFonts w:ascii="Times New Roman" w:hAnsi="Times New Roman" w:eastAsia="Times New Roman"/>
          <w:i/>
          <w:sz w:val="24"/>
          <w:vertAlign w:val="subscript"/>
        </w:rPr>
        <w:t>y=2020</w:t>
      </w:r>
      <w:r>
        <w:rPr>
          <w:rFonts w:ascii="Times New Roman" w:hAnsi="Times New Roman" w:eastAsia="Times New Roman"/>
          <w:i/>
          <w:sz w:val="24"/>
          <w:vertAlign w:val="superscript"/>
        </w:rPr>
        <w:t>2022</w:t>
      </w:r>
      <w:r>
        <w:rPr>
          <w:rFonts w:ascii="Times New Roman" w:hAnsi="Times New Roman" w:eastAsia="Times New Roman"/>
          <w:i/>
          <w:sz w:val="24"/>
        </w:rPr>
        <w:t>AIExposure</w:t>
      </w:r>
      <w:r>
        <w:rPr>
          <w:rFonts w:ascii="Times New Roman" w:hAnsi="Times New Roman" w:eastAsia="Times New Roman"/>
          <w:i/>
          <w:sz w:val="24"/>
          <w:vertAlign w:val="subscript"/>
        </w:rPr>
        <w:t>i,y</w:t>
      </w:r>
      <w:r>
        <w:rPr>
          <w:rFonts w:ascii="Times New Roman" w:hAnsi="Times New Roman" w:eastAsia="Times New Roman"/>
          <w:b w:val="0"/>
          <w:i w:val="0"/>
          <w:sz w:val="24"/>
        </w:rPr>
        <w:t xml:space="preserve">    （3）</w:t>
      </w:r>
    </w:p>
    <w:p w14:paraId="5AB4B55D">
      <w:pPr>
        <w:spacing w:before="0" w:after="0" w:line="360" w:lineRule="auto"/>
        <w:jc w:val="left"/>
      </w:pPr>
    </w:p>
    <w:p w14:paraId="77D39708">
      <w:pPr>
        <w:spacing w:before="0" w:after="0" w:line="360" w:lineRule="auto"/>
        <w:jc w:val="left"/>
      </w:pPr>
      <w:r>
        <w:rPr>
          <w:rFonts w:ascii="Times New Roman" w:hAnsi="Times New Roman" w:eastAsia="Times New Roman"/>
          <w:i w:val="0"/>
          <w:sz w:val="24"/>
        </w:rPr>
        <w:t xml:space="preserve">where </w:t>
      </w:r>
      <w:r>
        <w:rPr>
          <w:rFonts w:ascii="Times New Roman" w:hAnsi="Times New Roman" w:eastAsia="Times New Roman"/>
          <w:b/>
          <w:i/>
          <w:sz w:val="24"/>
        </w:rPr>
        <w:t>N</w:t>
      </w:r>
      <w:r>
        <w:rPr>
          <w:rFonts w:ascii="Times New Roman" w:hAnsi="Times New Roman" w:eastAsia="Times New Roman"/>
          <w:b/>
          <w:i/>
          <w:sz w:val="24"/>
          <w:vertAlign w:val="subscript"/>
        </w:rPr>
        <w:t>i</w:t>
      </w:r>
      <w:r>
        <w:rPr>
          <w:rFonts w:ascii="Times New Roman" w:hAnsi="Times New Roman" w:eastAsia="Times New Roman"/>
          <w:i w:val="0"/>
          <w:sz w:val="24"/>
        </w:rPr>
        <w:t xml:space="preserve"> denotes the number of non-missing observations for fund i during the pre-shock period. To improve measurement reliability, the main sample retains only funds with at least two non-missing pre-shock observations. This procedure produces a final exposure sample containing 1,425 unique funds.</w:t>
      </w:r>
    </w:p>
    <w:p w14:paraId="176B9409">
      <w:pPr>
        <w:spacing w:before="0" w:after="0" w:line="360" w:lineRule="auto"/>
        <w:jc w:val="left"/>
      </w:pPr>
    </w:p>
    <w:p w14:paraId="660CA8D4">
      <w:pPr>
        <w:spacing w:before="0" w:after="0" w:line="360" w:lineRule="auto"/>
        <w:jc w:val="left"/>
      </w:pPr>
      <w:r>
        <w:rPr>
          <w:rFonts w:ascii="Times New Roman" w:hAnsi="Times New Roman" w:eastAsia="Times New Roman"/>
          <w:b w:val="0"/>
          <w:i w:val="0"/>
          <w:sz w:val="24"/>
        </w:rPr>
        <w:t>Second, the continuous treatment variable is standardized:</w:t>
      </w:r>
    </w:p>
    <w:p w14:paraId="1030BFD0">
      <w:pPr>
        <w:spacing w:before="0" w:after="0" w:line="360" w:lineRule="auto"/>
        <w:jc w:val="left"/>
      </w:pPr>
    </w:p>
    <w:p w14:paraId="4852A822">
      <w:pPr>
        <w:spacing w:before="0" w:after="0" w:line="360" w:lineRule="auto"/>
        <w:ind w:left="360" w:right="360"/>
        <w:jc w:val="center"/>
      </w:pP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 mean(AIExposurePre)) / SD(AIExposurePre)</w:t>
      </w:r>
      <w:r>
        <w:rPr>
          <w:rFonts w:ascii="Times New Roman" w:hAnsi="Times New Roman" w:eastAsia="Times New Roman"/>
          <w:b w:val="0"/>
          <w:i w:val="0"/>
          <w:sz w:val="24"/>
        </w:rPr>
        <w:t xml:space="preserve">    （4）</w:t>
      </w:r>
    </w:p>
    <w:p w14:paraId="745EAFFF">
      <w:pPr>
        <w:spacing w:before="0" w:after="0" w:line="360" w:lineRule="auto"/>
        <w:jc w:val="left"/>
      </w:pPr>
    </w:p>
    <w:p w14:paraId="26FA8F81">
      <w:pPr>
        <w:spacing w:before="0" w:after="0" w:line="360" w:lineRule="auto"/>
        <w:jc w:val="left"/>
      </w:pPr>
      <w:r>
        <w:rPr>
          <w:rFonts w:ascii="Times New Roman" w:hAnsi="Times New Roman" w:eastAsia="Times New Roman"/>
          <w:b w:val="0"/>
          <w:i w:val="0"/>
          <w:sz w:val="24"/>
        </w:rPr>
        <w:t>The standardized exposure variable has mean zero and standard deviation one, allowing coefficient interpretation in terms of standard-deviation changes in AI exposure.</w:t>
      </w:r>
    </w:p>
    <w:p w14:paraId="3100CF22">
      <w:pPr>
        <w:spacing w:before="0" w:after="0" w:line="360" w:lineRule="auto"/>
        <w:jc w:val="left"/>
      </w:pPr>
    </w:p>
    <w:p w14:paraId="6D8947BC">
      <w:pPr>
        <w:spacing w:before="0" w:after="0" w:line="360" w:lineRule="auto"/>
        <w:jc w:val="left"/>
      </w:pPr>
      <w:r>
        <w:rPr>
          <w:rFonts w:ascii="Times New Roman" w:hAnsi="Times New Roman" w:eastAsia="Times New Roman"/>
          <w:b w:val="0"/>
          <w:i w:val="0"/>
          <w:sz w:val="24"/>
        </w:rPr>
        <w:t>Third, the CRSP monthly mutual fund dataset is cleaned and merged with the AI exposure sample. Fund flow is calculated as:</w:t>
      </w:r>
    </w:p>
    <w:p w14:paraId="32ADCBE5">
      <w:pPr>
        <w:spacing w:before="0" w:after="0" w:line="360" w:lineRule="auto"/>
        <w:jc w:val="left"/>
      </w:pPr>
    </w:p>
    <w:p w14:paraId="4C8BFC91">
      <w:pPr>
        <w:spacing w:before="0" w:after="0" w:line="360" w:lineRule="auto"/>
        <w:ind w:left="360" w:right="3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[MTNA</w:t>
      </w:r>
      <w:r>
        <w:rPr>
          <w:rFonts w:ascii="Times New Roman" w:hAnsi="Times New Roman" w:eastAsia="Times New Roman"/>
          <w:i/>
          <w:sz w:val="24"/>
          <w:vertAlign w:val="subscript"/>
        </w:rPr>
        <w:t>i,t</w:t>
      </w:r>
      <w:r>
        <w:rPr>
          <w:rFonts w:ascii="Times New Roman" w:hAnsi="Times New Roman" w:eastAsia="Times New Roman"/>
          <w:i/>
          <w:sz w:val="24"/>
        </w:rPr>
        <w:t xml:space="preserve"> - MTNA</w:t>
      </w:r>
      <w:r>
        <w:rPr>
          <w:rFonts w:ascii="Times New Roman" w:hAnsi="Times New Roman" w:eastAsia="Times New Roman"/>
          <w:i/>
          <w:sz w:val="24"/>
          <w:vertAlign w:val="subscript"/>
        </w:rPr>
        <w:t>i,t-1</w:t>
      </w:r>
      <w:r>
        <w:rPr>
          <w:rFonts w:ascii="Times New Roman" w:hAnsi="Times New Roman" w:eastAsia="Times New Roman"/>
          <w:i/>
          <w:sz w:val="24"/>
        </w:rPr>
        <w:t>(1 + R</w:t>
      </w:r>
      <w:r>
        <w:rPr>
          <w:rFonts w:ascii="Times New Roman" w:hAnsi="Times New Roman" w:eastAsia="Times New Roman"/>
          <w:i/>
          <w:sz w:val="24"/>
          <w:vertAlign w:val="subscript"/>
        </w:rPr>
        <w:t>i,t</w:t>
      </w:r>
      <w:r>
        <w:rPr>
          <w:rFonts w:ascii="Times New Roman" w:hAnsi="Times New Roman" w:eastAsia="Times New Roman"/>
          <w:i/>
          <w:sz w:val="24"/>
        </w:rPr>
        <w:t>)] / MTNA</w:t>
      </w:r>
      <w:r>
        <w:rPr>
          <w:rFonts w:ascii="Times New Roman" w:hAnsi="Times New Roman" w:eastAsia="Times New Roman"/>
          <w:i/>
          <w:sz w:val="24"/>
          <w:vertAlign w:val="subscript"/>
        </w:rPr>
        <w:t>i,t-1</w:t>
      </w:r>
      <w:r>
        <w:rPr>
          <w:rFonts w:ascii="Times New Roman" w:hAnsi="Times New Roman" w:eastAsia="Times New Roman"/>
          <w:b w:val="0"/>
          <w:i w:val="0"/>
          <w:sz w:val="24"/>
        </w:rPr>
        <w:t xml:space="preserve">    （5）</w:t>
      </w:r>
    </w:p>
    <w:p w14:paraId="7B92AB59">
      <w:pPr>
        <w:spacing w:before="0" w:after="0" w:line="360" w:lineRule="auto"/>
        <w:jc w:val="left"/>
      </w:pPr>
    </w:p>
    <w:p w14:paraId="449ED180">
      <w:pPr>
        <w:spacing w:before="0" w:after="0" w:line="360" w:lineRule="auto"/>
        <w:jc w:val="left"/>
      </w:pPr>
      <w:r>
        <w:rPr>
          <w:rFonts w:ascii="Times New Roman" w:hAnsi="Times New Roman" w:eastAsia="Times New Roman"/>
          <w:i w:val="0"/>
          <w:sz w:val="24"/>
        </w:rPr>
        <w:t xml:space="preserve">where </w:t>
      </w:r>
      <w:r>
        <w:rPr>
          <w:rFonts w:ascii="Times New Roman" w:hAnsi="Times New Roman" w:eastAsia="Times New Roman"/>
          <w:b/>
          <w:i/>
          <w:sz w:val="24"/>
        </w:rPr>
        <w:t>MTNA</w:t>
      </w:r>
      <w:r>
        <w:rPr>
          <w:rFonts w:ascii="Times New Roman" w:hAnsi="Times New Roman" w:eastAsia="Times New Roman"/>
          <w:b/>
          <w:i/>
          <w:sz w:val="24"/>
          <w:vertAlign w:val="subscript"/>
        </w:rPr>
        <w:t>i,t</w:t>
      </w:r>
      <w:r>
        <w:rPr>
          <w:rFonts w:ascii="Times New Roman" w:hAnsi="Times New Roman" w:eastAsia="Times New Roman"/>
          <w:i w:val="0"/>
          <w:sz w:val="24"/>
        </w:rPr>
        <w:t xml:space="preserve"> denotes total net assets and </w:t>
      </w:r>
      <w:r>
        <w:rPr>
          <w:rFonts w:ascii="Times New Roman" w:hAnsi="Times New Roman" w:eastAsia="Times New Roman"/>
          <w:b/>
          <w:i/>
          <w:sz w:val="24"/>
        </w:rPr>
        <w:t>R</w:t>
      </w:r>
      <w:r>
        <w:rPr>
          <w:rFonts w:ascii="Times New Roman" w:hAnsi="Times New Roman" w:eastAsia="Times New Roman"/>
          <w:b/>
          <w:i/>
          <w:sz w:val="24"/>
          <w:vertAlign w:val="subscript"/>
        </w:rPr>
        <w:t>i,t</w:t>
      </w:r>
      <w:r>
        <w:rPr>
          <w:rFonts w:ascii="Times New Roman" w:hAnsi="Times New Roman" w:eastAsia="Times New Roman"/>
          <w:i w:val="0"/>
          <w:sz w:val="24"/>
        </w:rPr>
        <w:t xml:space="preserve"> represents monthly fund return.</w:t>
      </w:r>
    </w:p>
    <w:p w14:paraId="5EF03D1A">
      <w:pPr>
        <w:spacing w:before="0" w:after="0" w:line="360" w:lineRule="auto"/>
        <w:jc w:val="left"/>
      </w:pPr>
    </w:p>
    <w:p w14:paraId="1B7BB0FE">
      <w:pPr>
        <w:spacing w:before="0" w:after="120" w:line="276" w:lineRule="auto"/>
        <w:jc w:val="left"/>
      </w:pPr>
      <w:r>
        <w:rPr>
          <w:rFonts w:ascii="Times New Roman" w:hAnsi="Times New Roman" w:eastAsia="Times New Roman"/>
          <w:b w:val="0"/>
          <w:i w:val="0"/>
          <w:sz w:val="24"/>
        </w:rPr>
        <w:t>This measure removes the mechanical effect of investment returns from changes in assets under management and isolates net investor capital flows. Mutual fund flows can contain extreme observations caused by mergers, fund closures, reporting changes, or unusually large subscriptions and redemptions. The raw flow variable is therefore winsorized at the 1st and 99th percentiles. This procedure reduces the influence of extreme observations without eliminating economically meaningful variation in fund flows. The winsorized dependent variable is denoted as flow_w.</w:t>
      </w:r>
    </w:p>
    <w:p w14:paraId="0B5D3F15">
      <w:pPr>
        <w:spacing w:before="0" w:after="0" w:line="360" w:lineRule="auto"/>
        <w:jc w:val="left"/>
      </w:pPr>
    </w:p>
    <w:p w14:paraId="44D8B7E0">
      <w:pPr>
        <w:spacing w:before="0" w:after="0" w:line="360" w:lineRule="auto"/>
        <w:jc w:val="left"/>
      </w:pPr>
      <w:r>
        <w:rPr>
          <w:rFonts w:ascii="Times New Roman" w:hAnsi="Times New Roman" w:eastAsia="Times New Roman"/>
          <w:b w:val="0"/>
          <w:i w:val="0"/>
          <w:sz w:val="24"/>
        </w:rPr>
        <w:t>After removing observations with missing lagged values required for flow calculation, the final monthly panel contains 82,531 fund-month observations spanning February 2020 to December 2025.</w:t>
      </w:r>
    </w:p>
    <w:p w14:paraId="4ED49B3B">
      <w:pPr>
        <w:spacing w:before="0" w:after="0" w:line="360" w:lineRule="auto"/>
        <w:jc w:val="left"/>
      </w:pPr>
    </w:p>
    <w:p w14:paraId="26030C04">
      <w:pPr>
        <w:spacing w:before="0" w:after="0" w:line="360" w:lineRule="auto"/>
        <w:jc w:val="left"/>
      </w:pPr>
      <w:r>
        <w:rPr>
          <w:rFonts w:ascii="Times New Roman" w:hAnsi="Times New Roman" w:eastAsia="Times New Roman"/>
          <w:b w:val="0"/>
          <w:i w:val="0"/>
          <w:sz w:val="24"/>
        </w:rPr>
        <w:t>The post-treatment indicator is defined as:</w:t>
      </w:r>
    </w:p>
    <w:p w14:paraId="469D69DC">
      <w:pPr>
        <w:spacing w:before="0" w:after="0" w:line="360" w:lineRule="auto"/>
        <w:jc w:val="left"/>
      </w:pPr>
    </w:p>
    <w:p w14:paraId="12F75369">
      <w:pPr>
        <w:spacing w:before="0" w:after="0" w:line="360" w:lineRule="auto"/>
        <w:ind w:left="360" w:right="360"/>
        <w:jc w:val="center"/>
      </w:pP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xml:space="preserve"> = 1[caldt ≥ 2022-12-01]</w:t>
      </w:r>
      <w:r>
        <w:rPr>
          <w:rFonts w:ascii="Times New Roman" w:hAnsi="Times New Roman" w:eastAsia="Times New Roman"/>
          <w:b w:val="0"/>
          <w:i w:val="0"/>
          <w:sz w:val="24"/>
        </w:rPr>
        <w:t xml:space="preserve">    （6）</w:t>
      </w:r>
    </w:p>
    <w:p w14:paraId="757E7BEC">
      <w:pPr>
        <w:spacing w:before="0" w:after="0" w:line="360" w:lineRule="auto"/>
        <w:jc w:val="left"/>
      </w:pPr>
    </w:p>
    <w:p w14:paraId="6B96E26D">
      <w:pPr>
        <w:spacing w:before="0" w:after="0" w:line="360" w:lineRule="auto"/>
        <w:jc w:val="left"/>
      </w:pPr>
      <w:r>
        <w:rPr>
          <w:rFonts w:ascii="Times New Roman" w:hAnsi="Times New Roman" w:eastAsia="Times New Roman"/>
          <w:b w:val="0"/>
          <w:i w:val="0"/>
          <w:sz w:val="24"/>
        </w:rPr>
        <w:t>The main treatment interaction is therefore:</w:t>
      </w:r>
    </w:p>
    <w:p w14:paraId="48B61985">
      <w:pPr>
        <w:spacing w:before="0" w:after="0" w:line="360" w:lineRule="auto"/>
        <w:jc w:val="left"/>
      </w:pPr>
    </w:p>
    <w:p w14:paraId="59B27C56">
      <w:pPr>
        <w:spacing w:before="0" w:after="0" w:line="360" w:lineRule="auto"/>
        <w:ind w:left="360" w:right="360"/>
        <w:jc w:val="center"/>
      </w:pPr>
      <w:r>
        <w:rPr>
          <w:rFonts w:ascii="Times New Roman" w:hAnsi="Times New Roman" w:eastAsia="Times New Roman"/>
          <w:i/>
          <w:sz w:val="24"/>
        </w:rPr>
        <w:t>AIpost</w:t>
      </w:r>
      <w:r>
        <w:rPr>
          <w:rFonts w:ascii="Times New Roman" w:hAnsi="Times New Roman" w:eastAsia="Times New Roman"/>
          <w:i/>
          <w:sz w:val="24"/>
          <w:vertAlign w:val="subscript"/>
        </w:rPr>
        <w:t>i,t</w:t>
      </w:r>
      <w:r>
        <w:rPr>
          <w:rFonts w:ascii="Times New Roman" w:hAnsi="Times New Roman" w:eastAsia="Times New Roman"/>
          <w:i/>
          <w:sz w:val="24"/>
        </w:rPr>
        <w:t xml:space="preserve"> = 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b w:val="0"/>
          <w:i w:val="0"/>
          <w:sz w:val="24"/>
        </w:rPr>
        <w:t xml:space="preserve">    （7）</w:t>
      </w:r>
    </w:p>
    <w:p w14:paraId="1742445C">
      <w:pPr>
        <w:spacing w:before="0" w:after="0" w:line="360" w:lineRule="auto"/>
        <w:jc w:val="left"/>
      </w:pPr>
    </w:p>
    <w:p w14:paraId="4A7302C7">
      <w:pPr>
        <w:spacing w:before="0" w:after="0" w:line="360" w:lineRule="auto"/>
        <w:jc w:val="left"/>
      </w:pPr>
      <w:r>
        <w:rPr>
          <w:rFonts w:ascii="Times New Roman" w:hAnsi="Times New Roman" w:eastAsia="Times New Roman"/>
          <w:b w:val="0"/>
          <w:i w:val="0"/>
          <w:sz w:val="24"/>
        </w:rPr>
        <w:t>To construct the quarterly panel for H3, the monthly fund panel is converted into a fund-quarter dataset by retaining quarter-end observations. The resulting H3 sample contains 28,034 fund-quarter observations from 2020Q1 to 2025Q4.</w:t>
      </w:r>
    </w:p>
    <w:p w14:paraId="0723F0A6">
      <w:pPr>
        <w:spacing w:before="0" w:after="0" w:line="360" w:lineRule="auto"/>
        <w:jc w:val="left"/>
      </w:pPr>
    </w:p>
    <w:p w14:paraId="3058E6A5">
      <w:pPr>
        <w:spacing w:before="0" w:after="0" w:line="360" w:lineRule="auto"/>
        <w:jc w:val="left"/>
      </w:pPr>
      <w:r>
        <w:rPr>
          <w:rFonts w:ascii="Times New Roman" w:hAnsi="Times New Roman" w:eastAsia="Times New Roman"/>
          <w:b/>
          <w:i w:val="0"/>
          <w:sz w:val="24"/>
        </w:rPr>
        <w:t>3.4 Variable Construction</w:t>
      </w:r>
    </w:p>
    <w:p w14:paraId="37BD63E5">
      <w:pPr>
        <w:spacing w:before="0" w:after="0" w:line="360" w:lineRule="auto"/>
        <w:jc w:val="left"/>
      </w:pPr>
      <w:r>
        <w:rPr>
          <w:rFonts w:ascii="Times New Roman" w:hAnsi="Times New Roman" w:eastAsia="Times New Roman"/>
          <w:b/>
          <w:i w:val="0"/>
          <w:sz w:val="24"/>
        </w:rPr>
        <w:t>3.4.1 Dependent Variable: Fund Flow</w:t>
      </w:r>
    </w:p>
    <w:p w14:paraId="5420A5F9">
      <w:pPr>
        <w:spacing w:before="0" w:after="0" w:line="360" w:lineRule="auto"/>
        <w:jc w:val="left"/>
      </w:pPr>
      <w:r>
        <w:rPr>
          <w:rFonts w:ascii="Times New Roman" w:hAnsi="Times New Roman" w:eastAsia="Times New Roman"/>
          <w:b w:val="0"/>
          <w:i w:val="0"/>
          <w:sz w:val="24"/>
        </w:rPr>
        <w:t>The primary dependent variable for H1 and H2 is the winsorized mutual fund flow variable (</w:t>
      </w:r>
      <w:r>
        <w:rPr>
          <w:rFonts w:ascii="Times New Roman" w:hAnsi="Times New Roman" w:eastAsia="Times New Roman"/>
          <w:b/>
          <w:i w:val="0"/>
          <w:sz w:val="24"/>
        </w:rPr>
        <w:t>flow_w</w:t>
      </w:r>
      <w:r>
        <w:rPr>
          <w:rFonts w:ascii="Times New Roman" w:hAnsi="Times New Roman" w:eastAsia="Times New Roman"/>
          <w:b w:val="0"/>
          <w:i w:val="0"/>
          <w:sz w:val="24"/>
        </w:rPr>
        <w:t>). Fund flow measures net investor capital movement after adjusting for asset growth caused by fund returns.</w:t>
      </w:r>
    </w:p>
    <w:p w14:paraId="3E98A479">
      <w:pPr>
        <w:spacing w:before="0" w:after="0" w:line="360" w:lineRule="auto"/>
        <w:jc w:val="left"/>
      </w:pPr>
    </w:p>
    <w:p w14:paraId="4C064400">
      <w:pPr>
        <w:spacing w:before="0" w:after="0" w:line="360" w:lineRule="auto"/>
        <w:jc w:val="left"/>
      </w:pPr>
      <w:r>
        <w:rPr>
          <w:rFonts w:ascii="Times New Roman" w:hAnsi="Times New Roman" w:eastAsia="Times New Roman"/>
          <w:b w:val="0"/>
          <w:i w:val="0"/>
          <w:sz w:val="24"/>
        </w:rPr>
        <w:t>The winsorized flow variable is calculated from the raw flow measure defined previously. The 1st and 99th percentile winsorization bounds are -0.3916 and 0.6548, respectively.</w:t>
      </w:r>
    </w:p>
    <w:p w14:paraId="75989868">
      <w:pPr>
        <w:spacing w:before="0" w:after="0" w:line="360" w:lineRule="auto"/>
        <w:jc w:val="left"/>
      </w:pPr>
    </w:p>
    <w:p w14:paraId="55C815D4">
      <w:pPr>
        <w:spacing w:before="0" w:after="0" w:line="360" w:lineRule="auto"/>
        <w:jc w:val="left"/>
      </w:pPr>
      <w:r>
        <w:rPr>
          <w:rFonts w:ascii="Times New Roman" w:hAnsi="Times New Roman" w:eastAsia="Times New Roman"/>
          <w:b/>
          <w:i w:val="0"/>
          <w:sz w:val="24"/>
        </w:rPr>
        <w:t>3.4.2 AI Exposure Variables</w:t>
      </w:r>
    </w:p>
    <w:p w14:paraId="2B7CF7E8">
      <w:pPr>
        <w:spacing w:before="0" w:after="0" w:line="360" w:lineRule="auto"/>
        <w:jc w:val="left"/>
      </w:pPr>
      <w:r>
        <w:rPr>
          <w:rFonts w:ascii="Times New Roman" w:hAnsi="Times New Roman" w:eastAsia="Times New Roman"/>
          <w:b w:val="0"/>
          <w:i w:val="0"/>
          <w:sz w:val="24"/>
        </w:rPr>
        <w:t>The key explanatory variable is pre-shock AI exposure. This study uses both continuous and dummy-based AI exposure measures.</w:t>
      </w:r>
    </w:p>
    <w:p w14:paraId="41A3901D">
      <w:pPr>
        <w:spacing w:before="0" w:after="0" w:line="360" w:lineRule="auto"/>
        <w:jc w:val="left"/>
      </w:pPr>
    </w:p>
    <w:p w14:paraId="5F6292B8">
      <w:pPr>
        <w:spacing w:before="0" w:after="0" w:line="360" w:lineRule="auto"/>
        <w:jc w:val="left"/>
      </w:pPr>
      <w:r>
        <w:rPr>
          <w:rFonts w:ascii="Times New Roman" w:hAnsi="Times New Roman" w:eastAsia="Times New Roman"/>
          <w:i w:val="0"/>
          <w:sz w:val="24"/>
        </w:rPr>
        <w:t xml:space="preserve">The continuous measure is the standardized AI exposure variable </w:t>
      </w:r>
      <w:r>
        <w:rPr>
          <w:rFonts w:ascii="Times New Roman" w:hAnsi="Times New Roman" w:eastAsia="Times New Roman"/>
          <w:b/>
          <w:i/>
          <w:sz w:val="24"/>
        </w:rPr>
        <w:t>AIExposureZ</w:t>
      </w:r>
      <w:r>
        <w:rPr>
          <w:rFonts w:ascii="Times New Roman" w:hAnsi="Times New Roman" w:eastAsia="Times New Roman"/>
          <w:b/>
          <w:i/>
          <w:sz w:val="24"/>
          <w:vertAlign w:val="subscript"/>
        </w:rPr>
        <w:t>i</w:t>
      </w:r>
      <w:r>
        <w:rPr>
          <w:rFonts w:ascii="Times New Roman" w:hAnsi="Times New Roman" w:eastAsia="Times New Roman"/>
          <w:i w:val="0"/>
          <w:sz w:val="24"/>
        </w:rPr>
        <w:t>.</w:t>
      </w:r>
    </w:p>
    <w:p w14:paraId="00F23C6A">
      <w:pPr>
        <w:spacing w:before="0" w:after="0" w:line="360" w:lineRule="auto"/>
        <w:jc w:val="left"/>
      </w:pPr>
    </w:p>
    <w:p w14:paraId="10722022">
      <w:pPr>
        <w:spacing w:before="0" w:after="0" w:line="360" w:lineRule="auto"/>
        <w:jc w:val="left"/>
      </w:pPr>
      <w:r>
        <w:rPr>
          <w:rFonts w:ascii="Times New Roman" w:hAnsi="Times New Roman" w:eastAsia="Times New Roman"/>
          <w:b w:val="0"/>
          <w:i w:val="0"/>
          <w:sz w:val="24"/>
        </w:rPr>
        <w:t>For robustness analysis, dummy treatment variables are also constructed using alternative exposure thresholds. The median-split treatment indicator is defined as:</w:t>
      </w:r>
    </w:p>
    <w:p w14:paraId="421C0210">
      <w:pPr>
        <w:spacing w:before="0" w:after="0" w:line="360" w:lineRule="auto"/>
        <w:jc w:val="left"/>
      </w:pPr>
    </w:p>
    <w:p w14:paraId="134965E1">
      <w:pPr>
        <w:spacing w:before="0" w:after="0" w:line="360" w:lineRule="auto"/>
        <w:ind w:left="360" w:right="360"/>
        <w:jc w:val="center"/>
      </w:pPr>
      <w:r>
        <w:rPr>
          <w:rFonts w:ascii="Times New Roman" w:hAnsi="Times New Roman" w:eastAsia="Times New Roman"/>
          <w:i/>
          <w:sz w:val="24"/>
        </w:rPr>
        <w:t>AIHigh</w:t>
      </w:r>
      <w:r>
        <w:rPr>
          <w:rFonts w:ascii="Times New Roman" w:hAnsi="Times New Roman" w:eastAsia="Times New Roman"/>
          <w:i/>
          <w:sz w:val="24"/>
          <w:vertAlign w:val="subscript"/>
        </w:rPr>
        <w:t>i</w:t>
      </w:r>
      <w:r>
        <w:rPr>
          <w:rFonts w:ascii="Times New Roman" w:hAnsi="Times New Roman" w:eastAsia="Times New Roman"/>
          <w:i/>
          <w:sz w:val="24"/>
        </w:rPr>
        <w:t xml:space="preserve"> = 1[AIExposurePre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&gt; Median(AIExposurePre)]</w:t>
      </w:r>
      <w:r>
        <w:rPr>
          <w:rFonts w:ascii="Times New Roman" w:hAnsi="Times New Roman" w:eastAsia="Times New Roman"/>
          <w:b w:val="0"/>
          <w:i w:val="0"/>
          <w:sz w:val="24"/>
        </w:rPr>
        <w:t xml:space="preserve">    （8）</w:t>
      </w:r>
    </w:p>
    <w:p w14:paraId="4D7F8334">
      <w:pPr>
        <w:spacing w:before="0" w:after="0" w:line="360" w:lineRule="auto"/>
        <w:jc w:val="left"/>
      </w:pPr>
    </w:p>
    <w:p w14:paraId="0C9A7CCD">
      <w:pPr>
        <w:spacing w:before="0" w:after="0" w:line="360" w:lineRule="auto"/>
        <w:jc w:val="left"/>
      </w:pPr>
      <w:r>
        <w:rPr>
          <w:rFonts w:ascii="Times New Roman" w:hAnsi="Times New Roman" w:eastAsia="Times New Roman"/>
          <w:b w:val="0"/>
          <w:i w:val="0"/>
          <w:sz w:val="24"/>
        </w:rPr>
        <w:t>where the median cutoff equals 58.4466.</w:t>
      </w:r>
    </w:p>
    <w:p w14:paraId="09DACA47">
      <w:pPr>
        <w:spacing w:before="0" w:after="0" w:line="360" w:lineRule="auto"/>
        <w:jc w:val="left"/>
      </w:pPr>
    </w:p>
    <w:p w14:paraId="5B023C39">
      <w:pPr>
        <w:spacing w:before="0" w:after="0" w:line="360" w:lineRule="auto"/>
        <w:jc w:val="left"/>
      </w:pPr>
      <w:r>
        <w:rPr>
          <w:rFonts w:ascii="Times New Roman" w:hAnsi="Times New Roman" w:eastAsia="Times New Roman"/>
          <w:b w:val="0"/>
          <w:i w:val="0"/>
          <w:sz w:val="24"/>
        </w:rPr>
        <w:t>The top-quartile treatment indicator is similarly defined as:</w:t>
      </w:r>
    </w:p>
    <w:p w14:paraId="7A850728">
      <w:pPr>
        <w:spacing w:before="0" w:after="0" w:line="360" w:lineRule="auto"/>
        <w:jc w:val="left"/>
      </w:pPr>
    </w:p>
    <w:p w14:paraId="726EC277">
      <w:pPr>
        <w:spacing w:before="0" w:after="0" w:line="360" w:lineRule="auto"/>
        <w:ind w:left="360" w:right="360"/>
        <w:jc w:val="center"/>
      </w:pPr>
      <w:r>
        <w:rPr>
          <w:rFonts w:ascii="Times New Roman" w:hAnsi="Times New Roman" w:eastAsia="Times New Roman"/>
          <w:i/>
          <w:sz w:val="24"/>
        </w:rPr>
        <w:t>TopQuartileAI</w:t>
      </w:r>
      <w:r>
        <w:rPr>
          <w:rFonts w:ascii="Times New Roman" w:hAnsi="Times New Roman" w:eastAsia="Times New Roman"/>
          <w:i/>
          <w:sz w:val="24"/>
          <w:vertAlign w:val="subscript"/>
        </w:rPr>
        <w:t>i</w:t>
      </w:r>
      <w:r>
        <w:rPr>
          <w:rFonts w:ascii="Times New Roman" w:hAnsi="Times New Roman" w:eastAsia="Times New Roman"/>
          <w:i/>
          <w:sz w:val="24"/>
        </w:rPr>
        <w:t xml:space="preserve"> = 1[AIExposurePre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&gt; Q75(AIExposurePre)]</w:t>
      </w:r>
      <w:r>
        <w:rPr>
          <w:rFonts w:ascii="Times New Roman" w:hAnsi="Times New Roman" w:eastAsia="Times New Roman"/>
          <w:b w:val="0"/>
          <w:i w:val="0"/>
          <w:sz w:val="24"/>
        </w:rPr>
        <w:t xml:space="preserve">    （9）</w:t>
      </w:r>
    </w:p>
    <w:p w14:paraId="2F5D7F65">
      <w:pPr>
        <w:spacing w:before="0" w:after="0" w:line="360" w:lineRule="auto"/>
        <w:jc w:val="left"/>
      </w:pPr>
    </w:p>
    <w:p w14:paraId="7BF152A5">
      <w:pPr>
        <w:spacing w:before="0" w:after="0" w:line="360" w:lineRule="auto"/>
        <w:jc w:val="left"/>
      </w:pPr>
      <w:r>
        <w:rPr>
          <w:rFonts w:ascii="Times New Roman" w:hAnsi="Times New Roman" w:eastAsia="Times New Roman"/>
          <w:b w:val="0"/>
          <w:i w:val="0"/>
          <w:sz w:val="24"/>
        </w:rPr>
        <w:t>where the 75th percentile cutoff equals 68.8412.</w:t>
      </w:r>
    </w:p>
    <w:p w14:paraId="367F8CC2">
      <w:pPr>
        <w:spacing w:before="0" w:after="0" w:line="360" w:lineRule="auto"/>
        <w:jc w:val="left"/>
      </w:pPr>
    </w:p>
    <w:p w14:paraId="5D1EB807">
      <w:pPr>
        <w:spacing w:before="0" w:after="0" w:line="360" w:lineRule="auto"/>
        <w:jc w:val="left"/>
      </w:pPr>
      <w:r>
        <w:rPr>
          <w:rFonts w:ascii="Times New Roman" w:hAnsi="Times New Roman" w:eastAsia="Times New Roman"/>
          <w:b/>
          <w:i w:val="0"/>
          <w:sz w:val="24"/>
        </w:rPr>
        <w:t>3.4.3 Control Variables</w:t>
      </w:r>
    </w:p>
    <w:p w14:paraId="65D0F4C6">
      <w:pPr>
        <w:spacing w:before="0" w:after="0" w:line="360" w:lineRule="auto"/>
        <w:jc w:val="left"/>
      </w:pPr>
      <w:r>
        <w:rPr>
          <w:rFonts w:ascii="Times New Roman" w:hAnsi="Times New Roman" w:eastAsia="Times New Roman"/>
          <w:b w:val="0"/>
          <w:i w:val="0"/>
          <w:sz w:val="24"/>
        </w:rPr>
        <w:t>The baseline regressions include three lagged control variables:</w:t>
      </w:r>
    </w:p>
    <w:p w14:paraId="51368CE1">
      <w:pPr>
        <w:spacing w:before="0" w:after="0" w:line="360" w:lineRule="auto"/>
        <w:jc w:val="left"/>
      </w:pPr>
    </w:p>
    <w:p w14:paraId="3ADE87A9">
      <w:pPr>
        <w:numPr>
          <w:ilvl w:val="0"/>
          <w:numId w:val="2"/>
        </w:numPr>
        <w:spacing w:before="0" w:after="0" w:line="360" w:lineRule="auto"/>
        <w:jc w:val="left"/>
      </w:pPr>
      <w:r>
        <w:rPr>
          <w:rFonts w:ascii="Times New Roman" w:hAnsi="Times New Roman" w:eastAsia="Times New Roman"/>
          <w:b w:val="0"/>
          <w:i w:val="0"/>
          <w:sz w:val="24"/>
        </w:rPr>
        <w:t>Lagged log assets under management:</w:t>
      </w:r>
    </w:p>
    <w:p w14:paraId="1CB6F9DB">
      <w:pPr>
        <w:spacing w:before="0" w:after="0" w:line="360" w:lineRule="auto"/>
        <w:ind w:left="360" w:right="360"/>
        <w:jc w:val="center"/>
      </w:pPr>
      <w:r>
        <w:rPr>
          <w:rFonts w:ascii="Times New Roman" w:hAnsi="Times New Roman" w:eastAsia="Times New Roman"/>
          <w:i/>
          <w:sz w:val="24"/>
        </w:rPr>
        <w:t>log_mtna_lag = log(MTNA</w:t>
      </w:r>
      <w:r>
        <w:rPr>
          <w:rFonts w:ascii="Times New Roman" w:hAnsi="Times New Roman" w:eastAsia="Times New Roman"/>
          <w:i/>
          <w:sz w:val="24"/>
          <w:vertAlign w:val="subscript"/>
        </w:rPr>
        <w:t>i,t-1</w:t>
      </w:r>
      <w:r>
        <w:rPr>
          <w:rFonts w:ascii="Times New Roman" w:hAnsi="Times New Roman" w:eastAsia="Times New Roman"/>
          <w:i/>
          <w:sz w:val="24"/>
        </w:rPr>
        <w:t>)</w:t>
      </w:r>
      <w:r>
        <w:rPr>
          <w:rFonts w:ascii="Times New Roman" w:hAnsi="Times New Roman" w:eastAsia="Times New Roman"/>
          <w:b w:val="0"/>
          <w:i w:val="0"/>
          <w:sz w:val="24"/>
        </w:rPr>
        <w:t xml:space="preserve">    （10）</w:t>
      </w:r>
    </w:p>
    <w:p w14:paraId="6A5BA505">
      <w:pPr>
        <w:spacing w:before="0" w:after="0" w:line="360" w:lineRule="auto"/>
        <w:jc w:val="left"/>
      </w:pPr>
    </w:p>
    <w:p w14:paraId="29FAB5EF">
      <w:pPr>
        <w:numPr>
          <w:ilvl w:val="0"/>
          <w:numId w:val="2"/>
        </w:numPr>
        <w:spacing w:before="0" w:after="0" w:line="360" w:lineRule="auto"/>
        <w:jc w:val="left"/>
      </w:pPr>
      <w:r>
        <w:rPr>
          <w:rFonts w:ascii="Times New Roman" w:hAnsi="Times New Roman" w:eastAsia="Times New Roman"/>
          <w:b w:val="0"/>
          <w:i w:val="0"/>
          <w:sz w:val="24"/>
        </w:rPr>
        <w:t>Lagged monthly return:</w:t>
      </w:r>
    </w:p>
    <w:p w14:paraId="64763927">
      <w:pPr>
        <w:spacing w:before="0" w:after="0" w:line="360" w:lineRule="auto"/>
        <w:ind w:left="360" w:right="360"/>
        <w:jc w:val="center"/>
      </w:pPr>
      <w:r>
        <w:rPr>
          <w:rFonts w:ascii="Times New Roman" w:hAnsi="Times New Roman" w:eastAsia="Times New Roman"/>
          <w:i/>
          <w:sz w:val="24"/>
        </w:rPr>
        <w:t>mret_lag = R</w:t>
      </w:r>
      <w:r>
        <w:rPr>
          <w:rFonts w:ascii="Times New Roman" w:hAnsi="Times New Roman" w:eastAsia="Times New Roman"/>
          <w:i/>
          <w:sz w:val="24"/>
          <w:vertAlign w:val="subscript"/>
        </w:rPr>
        <w:t>i,t-1</w:t>
      </w:r>
      <w:r>
        <w:rPr>
          <w:rFonts w:ascii="Times New Roman" w:hAnsi="Times New Roman" w:eastAsia="Times New Roman"/>
          <w:b w:val="0"/>
          <w:i w:val="0"/>
          <w:sz w:val="24"/>
        </w:rPr>
        <w:t xml:space="preserve">    （11）</w:t>
      </w:r>
    </w:p>
    <w:p w14:paraId="2620F608">
      <w:pPr>
        <w:spacing w:before="0" w:after="0" w:line="360" w:lineRule="auto"/>
        <w:jc w:val="left"/>
      </w:pPr>
    </w:p>
    <w:p w14:paraId="51F8B127">
      <w:pPr>
        <w:numPr>
          <w:ilvl w:val="0"/>
          <w:numId w:val="2"/>
        </w:numPr>
        <w:spacing w:before="0" w:after="0" w:line="360" w:lineRule="auto"/>
        <w:jc w:val="left"/>
      </w:pPr>
      <w:r>
        <w:rPr>
          <w:rFonts w:ascii="Times New Roman" w:hAnsi="Times New Roman" w:eastAsia="Times New Roman"/>
          <w:b w:val="0"/>
          <w:i w:val="0"/>
          <w:sz w:val="24"/>
        </w:rPr>
        <w:t>Lagged fund flow:</w:t>
      </w:r>
    </w:p>
    <w:p w14:paraId="38644CBB">
      <w:pPr>
        <w:spacing w:before="0" w:after="0" w:line="360" w:lineRule="auto"/>
        <w:ind w:left="360" w:right="360"/>
        <w:jc w:val="center"/>
      </w:pPr>
      <w:r>
        <w:rPr>
          <w:rFonts w:ascii="Times New Roman" w:hAnsi="Times New Roman" w:eastAsia="Times New Roman"/>
          <w:i/>
          <w:sz w:val="24"/>
        </w:rPr>
        <w:t>flow_lag = Flow</w:t>
      </w:r>
      <w:r>
        <w:rPr>
          <w:rFonts w:ascii="Times New Roman" w:hAnsi="Times New Roman" w:eastAsia="Times New Roman"/>
          <w:i/>
          <w:sz w:val="24"/>
          <w:vertAlign w:val="subscript"/>
        </w:rPr>
        <w:t>i,t-1</w:t>
      </w:r>
      <w:r>
        <w:rPr>
          <w:rFonts w:ascii="Times New Roman" w:hAnsi="Times New Roman" w:eastAsia="Times New Roman"/>
          <w:b w:val="0"/>
          <w:i w:val="0"/>
          <w:sz w:val="24"/>
        </w:rPr>
        <w:t xml:space="preserve">    （12）</w:t>
      </w:r>
    </w:p>
    <w:p w14:paraId="086F33CF">
      <w:pPr>
        <w:spacing w:before="0" w:after="0" w:line="360" w:lineRule="auto"/>
        <w:jc w:val="left"/>
      </w:pPr>
    </w:p>
    <w:p w14:paraId="65AD6540">
      <w:pPr>
        <w:spacing w:before="0" w:after="0" w:line="360" w:lineRule="auto"/>
        <w:jc w:val="left"/>
      </w:pPr>
      <w:r>
        <w:rPr>
          <w:rFonts w:ascii="Times New Roman" w:hAnsi="Times New Roman" w:eastAsia="Times New Roman"/>
          <w:b w:val="0"/>
          <w:i w:val="0"/>
          <w:sz w:val="24"/>
        </w:rPr>
        <w:t>These controls account for persistence in fund flows, size effects, and short-term return-driven investor behavior.</w:t>
      </w:r>
    </w:p>
    <w:p w14:paraId="59054F13">
      <w:pPr>
        <w:spacing w:before="0" w:after="0" w:line="360" w:lineRule="auto"/>
        <w:jc w:val="left"/>
      </w:pPr>
    </w:p>
    <w:p w14:paraId="47A0E875">
      <w:pPr>
        <w:spacing w:before="0" w:after="0" w:line="360" w:lineRule="auto"/>
        <w:jc w:val="left"/>
      </w:pPr>
      <w:r>
        <w:rPr>
          <w:rFonts w:ascii="Times New Roman" w:hAnsi="Times New Roman" w:eastAsia="Times New Roman"/>
          <w:b/>
          <w:i w:val="0"/>
          <w:sz w:val="24"/>
        </w:rPr>
        <w:t>3.4.4 Prior Alpha and GoodFund Variable</w:t>
      </w:r>
    </w:p>
    <w:p w14:paraId="08BDA57E">
      <w:pPr>
        <w:spacing w:before="0" w:after="0" w:line="360" w:lineRule="auto"/>
        <w:jc w:val="left"/>
      </w:pPr>
      <w:r>
        <w:rPr>
          <w:rFonts w:ascii="Times New Roman" w:hAnsi="Times New Roman" w:eastAsia="Times New Roman"/>
          <w:b w:val="0"/>
          <w:i w:val="0"/>
          <w:sz w:val="24"/>
        </w:rPr>
        <w:t xml:space="preserve">To examine heterogeneity in investor responses, this study estimates prior fund </w:t>
      </w:r>
      <w:r>
        <w:rPr>
          <w:rFonts w:ascii="Times New Roman" w:hAnsi="Times New Roman" w:eastAsia="Times New Roman"/>
          <w:b/>
          <w:i w:val="0"/>
          <w:sz w:val="24"/>
        </w:rPr>
        <w:t>alpha</w:t>
      </w:r>
      <w:r>
        <w:rPr>
          <w:rFonts w:ascii="Times New Roman" w:hAnsi="Times New Roman" w:eastAsia="Times New Roman"/>
          <w:b w:val="0"/>
          <w:i w:val="0"/>
          <w:sz w:val="24"/>
        </w:rPr>
        <w:t xml:space="preserve"> using the Fama-French three-factor model over the pre-shock period:</w:t>
      </w:r>
    </w:p>
    <w:p w14:paraId="4738C1AB">
      <w:pPr>
        <w:spacing w:before="0" w:after="0" w:line="360" w:lineRule="auto"/>
        <w:jc w:val="left"/>
      </w:pPr>
    </w:p>
    <w:p w14:paraId="084AFEDD">
      <w:pPr>
        <w:spacing w:before="0" w:after="0" w:line="360" w:lineRule="auto"/>
        <w:ind w:left="360" w:right="360"/>
        <w:jc w:val="center"/>
      </w:pPr>
      <w:r>
        <w:rPr>
          <w:rFonts w:ascii="Times New Roman" w:hAnsi="Times New Roman" w:eastAsia="Times New Roman"/>
          <w:i/>
          <w:sz w:val="24"/>
        </w:rPr>
        <w:t>R</w:t>
      </w:r>
      <w:r>
        <w:rPr>
          <w:rFonts w:ascii="Times New Roman" w:hAnsi="Times New Roman" w:eastAsia="Times New Roman"/>
          <w:i/>
          <w:sz w:val="24"/>
          <w:vertAlign w:val="subscript"/>
        </w:rPr>
        <w:t>i,t</w:t>
      </w:r>
      <w:r>
        <w:rPr>
          <w:rFonts w:ascii="Times New Roman" w:hAnsi="Times New Roman" w:eastAsia="Times New Roman"/>
          <w:i/>
          <w:sz w:val="24"/>
        </w:rPr>
        <w:t xml:space="preserve"> - RF</w:t>
      </w:r>
      <w:r>
        <w:rPr>
          <w:rFonts w:ascii="Times New Roman" w:hAnsi="Times New Roman" w:eastAsia="Times New Roman"/>
          <w:i/>
          <w:sz w:val="24"/>
          <w:vertAlign w:val="subscript"/>
        </w:rPr>
        <w:t>t</w:t>
      </w:r>
      <w:r>
        <w:rPr>
          <w:rFonts w:ascii="Times New Roman" w:hAnsi="Times New Roman" w:eastAsia="Times New Roman"/>
          <w:i/>
          <w:sz w:val="24"/>
        </w:rPr>
        <w:t xml:space="preserve"> = α</w:t>
      </w:r>
      <w:r>
        <w:rPr>
          <w:rFonts w:ascii="Times New Roman" w:hAnsi="Times New Roman" w:eastAsia="Times New Roman"/>
          <w:i/>
          <w:sz w:val="24"/>
          <w:vertAlign w:val="subscript"/>
        </w:rPr>
        <w:t>i</w:t>
      </w:r>
      <w:r>
        <w:rPr>
          <w:rFonts w:ascii="Times New Roman" w:hAnsi="Times New Roman" w:eastAsia="Times New Roman"/>
          <w:i/>
          <w:sz w:val="24"/>
        </w:rPr>
        <w:t xml:space="preserve"> + β</w:t>
      </w:r>
      <w:r>
        <w:rPr>
          <w:rFonts w:ascii="Times New Roman" w:hAnsi="Times New Roman" w:eastAsia="Times New Roman"/>
          <w:i/>
          <w:sz w:val="24"/>
          <w:vertAlign w:val="subscript"/>
        </w:rPr>
        <w:t>MKT,i</w:t>
      </w:r>
      <w:r>
        <w:rPr>
          <w:rFonts w:ascii="Times New Roman" w:hAnsi="Times New Roman" w:eastAsia="Times New Roman"/>
          <w:i/>
          <w:sz w:val="24"/>
        </w:rPr>
        <w:t>MKT_RF</w:t>
      </w:r>
      <w:r>
        <w:rPr>
          <w:rFonts w:ascii="Times New Roman" w:hAnsi="Times New Roman" w:eastAsia="Times New Roman"/>
          <w:i/>
          <w:sz w:val="24"/>
          <w:vertAlign w:val="subscript"/>
        </w:rPr>
        <w:t>t</w:t>
      </w:r>
      <w:r>
        <w:rPr>
          <w:rFonts w:ascii="Times New Roman" w:hAnsi="Times New Roman" w:eastAsia="Times New Roman"/>
          <w:i/>
          <w:sz w:val="24"/>
        </w:rPr>
        <w:t xml:space="preserve"> + β</w:t>
      </w:r>
      <w:r>
        <w:rPr>
          <w:rFonts w:ascii="Times New Roman" w:hAnsi="Times New Roman" w:eastAsia="Times New Roman"/>
          <w:i/>
          <w:sz w:val="24"/>
          <w:vertAlign w:val="subscript"/>
        </w:rPr>
        <w:t>SMB,i</w:t>
      </w:r>
      <w:r>
        <w:rPr>
          <w:rFonts w:ascii="Times New Roman" w:hAnsi="Times New Roman" w:eastAsia="Times New Roman"/>
          <w:i/>
          <w:sz w:val="24"/>
        </w:rPr>
        <w:t>SMB</w:t>
      </w:r>
      <w:r>
        <w:rPr>
          <w:rFonts w:ascii="Times New Roman" w:hAnsi="Times New Roman" w:eastAsia="Times New Roman"/>
          <w:i/>
          <w:sz w:val="24"/>
          <w:vertAlign w:val="subscript"/>
        </w:rPr>
        <w:t>t</w:t>
      </w:r>
      <w:r>
        <w:rPr>
          <w:rFonts w:ascii="Times New Roman" w:hAnsi="Times New Roman" w:eastAsia="Times New Roman"/>
          <w:i/>
          <w:sz w:val="24"/>
        </w:rPr>
        <w:t xml:space="preserve"> + β</w:t>
      </w:r>
      <w:r>
        <w:rPr>
          <w:rFonts w:ascii="Times New Roman" w:hAnsi="Times New Roman" w:eastAsia="Times New Roman"/>
          <w:i/>
          <w:sz w:val="24"/>
          <w:vertAlign w:val="subscript"/>
        </w:rPr>
        <w:t>HML,i</w:t>
      </w:r>
      <w:r>
        <w:rPr>
          <w:rFonts w:ascii="Times New Roman" w:hAnsi="Times New Roman" w:eastAsia="Times New Roman"/>
          <w:i/>
          <w:sz w:val="24"/>
        </w:rPr>
        <w:t>HML</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（13）</w:t>
      </w:r>
    </w:p>
    <w:p w14:paraId="54CC2413">
      <w:pPr>
        <w:spacing w:before="0" w:after="0" w:line="360" w:lineRule="auto"/>
        <w:jc w:val="left"/>
      </w:pPr>
    </w:p>
    <w:p w14:paraId="5A54350F">
      <w:pPr>
        <w:spacing w:before="0" w:after="0" w:line="360" w:lineRule="auto"/>
        <w:jc w:val="left"/>
      </w:pPr>
      <w:r>
        <w:rPr>
          <w:rFonts w:ascii="Times New Roman" w:hAnsi="Times New Roman" w:eastAsia="Times New Roman"/>
          <w:b w:val="0"/>
          <w:i w:val="0"/>
          <w:sz w:val="24"/>
        </w:rPr>
        <w:t xml:space="preserve">Funds must have at least 12 monthly observations before November 2022 to estimate </w:t>
      </w:r>
      <w:r>
        <w:rPr>
          <w:rFonts w:ascii="Times New Roman" w:hAnsi="Times New Roman" w:eastAsia="Times New Roman"/>
          <w:b/>
          <w:i w:val="0"/>
          <w:sz w:val="24"/>
        </w:rPr>
        <w:t>alpha</w:t>
      </w:r>
      <w:r>
        <w:rPr>
          <w:rFonts w:ascii="Times New Roman" w:hAnsi="Times New Roman" w:eastAsia="Times New Roman"/>
          <w:b w:val="0"/>
          <w:i w:val="0"/>
          <w:sz w:val="24"/>
        </w:rPr>
        <w:t xml:space="preserve"> reliably. This procedure produces 1,231 funds with valid </w:t>
      </w:r>
      <w:r>
        <w:rPr>
          <w:rFonts w:ascii="Times New Roman" w:hAnsi="Times New Roman" w:eastAsia="Times New Roman"/>
          <w:b/>
          <w:i w:val="0"/>
          <w:sz w:val="24"/>
        </w:rPr>
        <w:t>alpha</w:t>
      </w:r>
      <w:r>
        <w:rPr>
          <w:rFonts w:ascii="Times New Roman" w:hAnsi="Times New Roman" w:eastAsia="Times New Roman"/>
          <w:b w:val="0"/>
          <w:i w:val="0"/>
          <w:sz w:val="24"/>
        </w:rPr>
        <w:t xml:space="preserve"> estimates.</w:t>
      </w:r>
    </w:p>
    <w:p w14:paraId="14295024">
      <w:pPr>
        <w:spacing w:before="0" w:after="0" w:line="360" w:lineRule="auto"/>
        <w:jc w:val="left"/>
      </w:pPr>
    </w:p>
    <w:p w14:paraId="6800617A">
      <w:pPr>
        <w:spacing w:before="0" w:after="0" w:line="360" w:lineRule="auto"/>
        <w:jc w:val="left"/>
      </w:pPr>
      <w:r>
        <w:rPr>
          <w:rFonts w:ascii="Times New Roman" w:hAnsi="Times New Roman" w:eastAsia="Times New Roman"/>
          <w:b w:val="0"/>
          <w:i w:val="0"/>
          <w:sz w:val="24"/>
        </w:rPr>
        <w:t xml:space="preserve">Based on estimated </w:t>
      </w:r>
      <w:r>
        <w:rPr>
          <w:rFonts w:ascii="Times New Roman" w:hAnsi="Times New Roman" w:eastAsia="Times New Roman"/>
          <w:b/>
          <w:i w:val="0"/>
          <w:sz w:val="24"/>
        </w:rPr>
        <w:t>alpha</w:t>
      </w:r>
      <w:r>
        <w:rPr>
          <w:rFonts w:ascii="Times New Roman" w:hAnsi="Times New Roman" w:eastAsia="Times New Roman"/>
          <w:b w:val="0"/>
          <w:i w:val="0"/>
          <w:sz w:val="24"/>
        </w:rPr>
        <w:t xml:space="preserve"> values, a high-performance dummy variable is constructed:</w:t>
      </w:r>
    </w:p>
    <w:p w14:paraId="2EEC5937">
      <w:pPr>
        <w:spacing w:before="0" w:after="0" w:line="360" w:lineRule="auto"/>
        <w:jc w:val="left"/>
      </w:pPr>
    </w:p>
    <w:p w14:paraId="162CD3E2">
      <w:pPr>
        <w:spacing w:before="0" w:after="0" w:line="360" w:lineRule="auto"/>
        <w:ind w:left="360" w:right="360"/>
        <w:jc w:val="center"/>
      </w:pPr>
      <w:r>
        <w:rPr>
          <w:rFonts w:ascii="Times New Roman" w:hAnsi="Times New Roman" w:eastAsia="Times New Roman"/>
          <w:i/>
          <w:sz w:val="24"/>
        </w:rPr>
        <w:t>GoodFund</w:t>
      </w:r>
      <w:r>
        <w:rPr>
          <w:rFonts w:ascii="Times New Roman" w:hAnsi="Times New Roman" w:eastAsia="Times New Roman"/>
          <w:i/>
          <w:sz w:val="24"/>
          <w:vertAlign w:val="subscript"/>
        </w:rPr>
        <w:t>i</w:t>
      </w:r>
      <w:r>
        <w:rPr>
          <w:rFonts w:ascii="Times New Roman" w:hAnsi="Times New Roman" w:eastAsia="Times New Roman"/>
          <w:i/>
          <w:sz w:val="24"/>
        </w:rPr>
        <w:t xml:space="preserve"> = 1[α</w:t>
      </w:r>
      <w:r>
        <w:rPr>
          <w:rFonts w:ascii="Times New Roman" w:hAnsi="Times New Roman" w:eastAsia="Times New Roman"/>
          <w:i/>
          <w:sz w:val="24"/>
          <w:vertAlign w:val="subscript"/>
        </w:rPr>
        <w:t>i</w:t>
      </w:r>
      <w:r>
        <w:rPr>
          <w:rFonts w:ascii="Times New Roman" w:hAnsi="Times New Roman" w:eastAsia="Times New Roman"/>
          <w:i/>
          <w:sz w:val="24"/>
        </w:rPr>
        <w:t xml:space="preserve"> &gt; Median(α)]</w:t>
      </w:r>
      <w:r>
        <w:rPr>
          <w:rFonts w:ascii="Times New Roman" w:hAnsi="Times New Roman" w:eastAsia="Times New Roman"/>
          <w:b w:val="0"/>
          <w:i w:val="0"/>
          <w:sz w:val="24"/>
        </w:rPr>
        <w:t xml:space="preserve">    （14）</w:t>
      </w:r>
    </w:p>
    <w:p w14:paraId="794885BF">
      <w:pPr>
        <w:spacing w:before="0" w:after="0" w:line="360" w:lineRule="auto"/>
        <w:jc w:val="left"/>
      </w:pPr>
    </w:p>
    <w:p w14:paraId="432AA829">
      <w:pPr>
        <w:spacing w:before="0" w:after="0" w:line="360" w:lineRule="auto"/>
        <w:jc w:val="left"/>
      </w:pPr>
      <w:r>
        <w:rPr>
          <w:rFonts w:ascii="Times New Roman" w:hAnsi="Times New Roman" w:eastAsia="Times New Roman"/>
          <w:b w:val="0"/>
          <w:i w:val="0"/>
          <w:sz w:val="24"/>
        </w:rPr>
        <w:t xml:space="preserve">The median </w:t>
      </w:r>
      <w:r>
        <w:rPr>
          <w:rFonts w:ascii="Times New Roman" w:hAnsi="Times New Roman" w:eastAsia="Times New Roman"/>
          <w:b/>
          <w:i w:val="0"/>
          <w:sz w:val="24"/>
        </w:rPr>
        <w:t>alpha</w:t>
      </w:r>
      <w:r>
        <w:rPr>
          <w:rFonts w:ascii="Times New Roman" w:hAnsi="Times New Roman" w:eastAsia="Times New Roman"/>
          <w:b w:val="0"/>
          <w:i w:val="0"/>
          <w:sz w:val="24"/>
        </w:rPr>
        <w:t xml:space="preserve"> equals -0.002811.</w:t>
      </w:r>
    </w:p>
    <w:p w14:paraId="777E0A67">
      <w:pPr>
        <w:spacing w:before="0" w:after="0" w:line="360" w:lineRule="auto"/>
        <w:jc w:val="left"/>
      </w:pPr>
    </w:p>
    <w:p w14:paraId="3A18FDDF">
      <w:pPr>
        <w:spacing w:before="0" w:after="0" w:line="360" w:lineRule="auto"/>
        <w:jc w:val="left"/>
      </w:pPr>
      <w:r>
        <w:rPr>
          <w:rFonts w:ascii="Times New Roman" w:hAnsi="Times New Roman" w:eastAsia="Times New Roman"/>
          <w:b/>
          <w:i w:val="0"/>
          <w:sz w:val="24"/>
        </w:rPr>
        <w:t>3.4.5 Portfolio Allocation Variables</w:t>
      </w:r>
    </w:p>
    <w:p w14:paraId="41587B85">
      <w:pPr>
        <w:spacing w:before="0" w:after="0" w:line="360" w:lineRule="auto"/>
        <w:jc w:val="left"/>
      </w:pPr>
      <w:r>
        <w:rPr>
          <w:rFonts w:ascii="Times New Roman" w:hAnsi="Times New Roman" w:eastAsia="Times New Roman"/>
          <w:b w:val="0"/>
          <w:i w:val="0"/>
          <w:sz w:val="24"/>
        </w:rPr>
        <w:t>For H3, two portfolio allocation measures are constructed.</w:t>
      </w:r>
    </w:p>
    <w:p w14:paraId="09686F74">
      <w:pPr>
        <w:spacing w:before="0" w:after="0" w:line="360" w:lineRule="auto"/>
        <w:jc w:val="left"/>
      </w:pPr>
    </w:p>
    <w:p w14:paraId="7ED977D2">
      <w:pPr>
        <w:spacing w:before="0" w:after="0" w:line="360" w:lineRule="auto"/>
        <w:jc w:val="left"/>
      </w:pPr>
      <w:r>
        <w:rPr>
          <w:rFonts w:ascii="Times New Roman" w:hAnsi="Times New Roman" w:eastAsia="Times New Roman"/>
          <w:b w:val="0"/>
          <w:i w:val="0"/>
          <w:sz w:val="24"/>
        </w:rPr>
        <w:t>The first variable is the number of newly initiated AI stock positions (</w:t>
      </w:r>
      <w:r>
        <w:rPr>
          <w:rFonts w:ascii="Times New Roman" w:hAnsi="Times New Roman" w:eastAsia="Times New Roman"/>
          <w:b/>
          <w:i w:val="0"/>
          <w:sz w:val="24"/>
        </w:rPr>
        <w:t>new_ai_positions</w:t>
      </w:r>
      <w:r>
        <w:rPr>
          <w:rFonts w:ascii="Times New Roman" w:hAnsi="Times New Roman" w:eastAsia="Times New Roman"/>
          <w:b w:val="0"/>
          <w:i w:val="0"/>
          <w:sz w:val="24"/>
        </w:rPr>
        <w:t>). A new AI position is defined as:</w:t>
      </w:r>
    </w:p>
    <w:p w14:paraId="295CC3F6">
      <w:pPr>
        <w:spacing w:before="0" w:after="0" w:line="360" w:lineRule="auto"/>
        <w:jc w:val="left"/>
      </w:pPr>
    </w:p>
    <w:p w14:paraId="457C39CB">
      <w:pPr>
        <w:spacing w:before="0" w:after="0" w:line="360" w:lineRule="auto"/>
        <w:ind w:left="360" w:right="360"/>
        <w:jc w:val="center"/>
      </w:pPr>
      <w:r>
        <w:rPr>
          <w:rFonts w:ascii="Times New Roman" w:hAnsi="Times New Roman" w:eastAsia="Times New Roman"/>
          <w:i/>
          <w:sz w:val="24"/>
        </w:rPr>
        <w:t>NewAIPosition</w:t>
      </w:r>
      <w:r>
        <w:rPr>
          <w:rFonts w:ascii="Times New Roman" w:hAnsi="Times New Roman" w:eastAsia="Times New Roman"/>
          <w:i/>
          <w:sz w:val="24"/>
          <w:vertAlign w:val="subscript"/>
        </w:rPr>
        <w:t>p,s,q</w:t>
      </w:r>
      <w:r>
        <w:rPr>
          <w:rFonts w:ascii="Times New Roman" w:hAnsi="Times New Roman" w:eastAsia="Times New Roman"/>
          <w:i/>
          <w:sz w:val="24"/>
        </w:rPr>
        <w:t xml:space="preserve"> = 1[NoPreviousHolding</w:t>
      </w:r>
      <w:r>
        <w:rPr>
          <w:rFonts w:ascii="Times New Roman" w:hAnsi="Times New Roman" w:eastAsia="Times New Roman"/>
          <w:i/>
          <w:sz w:val="24"/>
          <w:vertAlign w:val="subscript"/>
        </w:rPr>
        <w:t>p,s</w:t>
      </w:r>
      <w:r>
        <w:rPr>
          <w:rFonts w:ascii="Times New Roman" w:hAnsi="Times New Roman" w:eastAsia="Times New Roman"/>
          <w:i/>
          <w:sz w:val="24"/>
        </w:rPr>
        <w:t>] or 1[QuarterGap</w:t>
      </w:r>
      <w:r>
        <w:rPr>
          <w:rFonts w:ascii="Times New Roman" w:hAnsi="Times New Roman" w:eastAsia="Times New Roman"/>
          <w:i/>
          <w:sz w:val="24"/>
          <w:vertAlign w:val="subscript"/>
        </w:rPr>
        <w:t>p,s,q</w:t>
      </w:r>
      <w:r>
        <w:rPr>
          <w:rFonts w:ascii="Times New Roman" w:hAnsi="Times New Roman" w:eastAsia="Times New Roman"/>
          <w:i/>
          <w:sz w:val="24"/>
        </w:rPr>
        <w:t xml:space="preserve"> &gt; 1]</w:t>
      </w:r>
      <w:r>
        <w:rPr>
          <w:rFonts w:ascii="Times New Roman" w:hAnsi="Times New Roman" w:eastAsia="Times New Roman"/>
          <w:b w:val="0"/>
          <w:i w:val="0"/>
          <w:sz w:val="24"/>
        </w:rPr>
        <w:t xml:space="preserve">    （15）</w:t>
      </w:r>
    </w:p>
    <w:p w14:paraId="0A227238">
      <w:pPr>
        <w:spacing w:before="0" w:after="0" w:line="360" w:lineRule="auto"/>
        <w:jc w:val="left"/>
      </w:pPr>
    </w:p>
    <w:p w14:paraId="3A0E625C">
      <w:pPr>
        <w:spacing w:before="0" w:after="0" w:line="360" w:lineRule="auto"/>
        <w:jc w:val="left"/>
      </w:pPr>
      <w:r>
        <w:rPr>
          <w:rFonts w:ascii="Times New Roman" w:hAnsi="Times New Roman" w:eastAsia="Times New Roman"/>
          <w:b w:val="0"/>
          <w:i w:val="0"/>
          <w:sz w:val="24"/>
        </w:rPr>
        <w:t>where p represents portfolio, s denotes ticker, and q represents quarter.</w:t>
      </w:r>
    </w:p>
    <w:p w14:paraId="7F9BCF37">
      <w:pPr>
        <w:spacing w:before="0" w:after="0" w:line="360" w:lineRule="auto"/>
        <w:jc w:val="left"/>
      </w:pPr>
    </w:p>
    <w:p w14:paraId="4788A9C2">
      <w:pPr>
        <w:spacing w:before="0" w:after="0" w:line="360" w:lineRule="auto"/>
        <w:jc w:val="left"/>
      </w:pPr>
      <w:r>
        <w:rPr>
          <w:rFonts w:ascii="Times New Roman" w:hAnsi="Times New Roman" w:eastAsia="Times New Roman"/>
          <w:b w:val="0"/>
          <w:i w:val="0"/>
          <w:sz w:val="24"/>
        </w:rPr>
        <w:t>The second variable is the AI portfolio share:</w:t>
      </w:r>
    </w:p>
    <w:p w14:paraId="19E564F3">
      <w:pPr>
        <w:spacing w:before="0" w:after="0" w:line="360" w:lineRule="auto"/>
        <w:jc w:val="left"/>
      </w:pPr>
    </w:p>
    <w:p w14:paraId="6E81D137">
      <w:pPr>
        <w:spacing w:before="0" w:after="0" w:line="360" w:lineRule="auto"/>
        <w:ind w:left="360" w:right="360"/>
        <w:jc w:val="center"/>
      </w:pPr>
      <w:r>
        <w:rPr>
          <w:rFonts w:ascii="Times New Roman" w:hAnsi="Times New Roman" w:eastAsia="Times New Roman"/>
          <w:i/>
          <w:sz w:val="24"/>
        </w:rPr>
        <w:t>AIShare</w:t>
      </w:r>
      <w:r>
        <w:rPr>
          <w:rFonts w:ascii="Times New Roman" w:hAnsi="Times New Roman" w:eastAsia="Times New Roman"/>
          <w:i/>
          <w:sz w:val="24"/>
          <w:vertAlign w:val="subscript"/>
        </w:rPr>
        <w:t>p,q</w:t>
      </w:r>
      <w:r>
        <w:rPr>
          <w:rFonts w:ascii="Times New Roman" w:hAnsi="Times New Roman" w:eastAsia="Times New Roman"/>
          <w:i/>
          <w:sz w:val="24"/>
        </w:rPr>
        <w:t xml:space="preserve"> = ∑</w:t>
      </w:r>
      <w:r>
        <w:rPr>
          <w:rFonts w:ascii="Times New Roman" w:hAnsi="Times New Roman" w:eastAsia="Times New Roman"/>
          <w:i/>
          <w:sz w:val="24"/>
          <w:vertAlign w:val="subscript"/>
        </w:rPr>
        <w:t>s∈AIStocks</w:t>
      </w:r>
      <w:r>
        <w:rPr>
          <w:rFonts w:ascii="Times New Roman" w:hAnsi="Times New Roman" w:eastAsia="Times New Roman"/>
          <w:i/>
          <w:sz w:val="24"/>
        </w:rPr>
        <w:t>PercentTNA</w:t>
      </w:r>
      <w:r>
        <w:rPr>
          <w:rFonts w:ascii="Times New Roman" w:hAnsi="Times New Roman" w:eastAsia="Times New Roman"/>
          <w:i/>
          <w:sz w:val="24"/>
          <w:vertAlign w:val="subscript"/>
        </w:rPr>
        <w:t>p,s,q</w:t>
      </w:r>
      <w:r>
        <w:rPr>
          <w:rFonts w:ascii="Times New Roman" w:hAnsi="Times New Roman" w:eastAsia="Times New Roman"/>
          <w:b w:val="0"/>
          <w:i w:val="0"/>
          <w:sz w:val="24"/>
        </w:rPr>
        <w:t xml:space="preserve">    （16）</w:t>
      </w:r>
    </w:p>
    <w:p w14:paraId="2CCB3716">
      <w:pPr>
        <w:spacing w:before="0" w:after="0" w:line="360" w:lineRule="auto"/>
        <w:jc w:val="left"/>
      </w:pPr>
    </w:p>
    <w:p w14:paraId="79860F06">
      <w:pPr>
        <w:spacing w:before="0" w:after="0" w:line="360" w:lineRule="auto"/>
        <w:jc w:val="left"/>
      </w:pPr>
      <w:r>
        <w:rPr>
          <w:rFonts w:ascii="Times New Roman" w:hAnsi="Times New Roman" w:eastAsia="Times New Roman"/>
          <w:b w:val="0"/>
          <w:i w:val="0"/>
          <w:sz w:val="24"/>
        </w:rPr>
        <w:t>This variable measures the percentage of portfolio assets allocated to AI-related firms.</w:t>
      </w:r>
    </w:p>
    <w:p>
      <w:pPr>
        <w:spacing w:after="120" w:line="276" w:lineRule="auto"/>
      </w:pPr>
      <w:r>
        <w:rPr>
          <w:rFonts w:ascii="Times New Roman" w:hAnsi="Times New Roman" w:eastAsia="Times New Roman"/>
          <w:b w:val="0"/>
          <w:i w:val="0"/>
          <w:sz w:val="24"/>
        </w:rPr>
        <w:t>Using both new_ai_positions and AIShare allows the analysis to distinguish between extensive-margin portfolio expansion and intensive-margin allocation reinforcement. New AI positions capture whether funds broaden their exposure by entering additional AI-related stocks, while AIShare captures whether funds increase the weight allocated to AI-related holdings. This distinction is important for interpreting institutional adaptation because managers may respond to technological uncertainty through strategic concentration in familiar positions rather than through broad exploratory diversification.</w:t>
      </w:r>
    </w:p>
    <w:p w14:paraId="466FE652">
      <w:pPr>
        <w:spacing w:before="0" w:after="0" w:line="360" w:lineRule="auto"/>
        <w:jc w:val="left"/>
      </w:pPr>
    </w:p>
    <w:p w14:paraId="6B570FE1">
      <w:pPr>
        <w:spacing w:before="0" w:after="0" w:line="360" w:lineRule="auto"/>
        <w:jc w:val="left"/>
      </w:pPr>
      <w:r>
        <w:rPr>
          <w:rFonts w:ascii="Times New Roman" w:hAnsi="Times New Roman" w:eastAsia="Times New Roman"/>
          <w:b/>
          <w:i w:val="0"/>
          <w:sz w:val="24"/>
        </w:rPr>
        <w:t>3.5 Econometric Specifications</w:t>
      </w:r>
    </w:p>
    <w:p w14:paraId="6287E07D">
      <w:pPr>
        <w:spacing w:before="0" w:after="0" w:line="360" w:lineRule="auto"/>
        <w:jc w:val="left"/>
      </w:pPr>
      <w:r>
        <w:rPr>
          <w:rFonts w:ascii="Times New Roman" w:hAnsi="Times New Roman" w:eastAsia="Times New Roman"/>
          <w:b/>
          <w:i w:val="0"/>
          <w:sz w:val="24"/>
        </w:rPr>
        <w:t>3.5.1 Baseline DiD Model</w:t>
      </w:r>
    </w:p>
    <w:p w14:paraId="0E99E14E">
      <w:pPr>
        <w:spacing w:before="0" w:after="0" w:line="360" w:lineRule="auto"/>
        <w:jc w:val="left"/>
      </w:pPr>
      <w:r>
        <w:rPr>
          <w:rFonts w:ascii="Times New Roman" w:hAnsi="Times New Roman" w:eastAsia="Times New Roman"/>
          <w:b w:val="0"/>
          <w:i w:val="0"/>
          <w:sz w:val="24"/>
        </w:rPr>
        <w:t>The baseline model estimates the relationship between AI exposure and post-ChatGPT fund flows:</w:t>
      </w:r>
    </w:p>
    <w:p w14:paraId="7CE9D9E3">
      <w:pPr>
        <w:spacing w:before="0" w:after="0" w:line="360" w:lineRule="auto"/>
        <w:jc w:val="left"/>
      </w:pPr>
    </w:p>
    <w:p w14:paraId="5A656F0C">
      <w:pPr>
        <w:spacing w:before="0" w:after="0" w:line="360" w:lineRule="auto"/>
        <w:ind w:left="360" w:right="3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（17）</w:t>
      </w:r>
    </w:p>
    <w:p w14:paraId="36D5853D">
      <w:pPr>
        <w:spacing w:before="0" w:after="0" w:line="360" w:lineRule="auto"/>
        <w:jc w:val="left"/>
      </w:pPr>
    </w:p>
    <w:p w14:paraId="32CEB2FC">
      <w:pPr>
        <w:spacing w:before="0" w:after="0" w:line="360" w:lineRule="auto"/>
        <w:jc w:val="left"/>
      </w:pPr>
      <w:r>
        <w:rPr>
          <w:rFonts w:ascii="Times New Roman" w:hAnsi="Times New Roman" w:eastAsia="Times New Roman"/>
          <w:i w:val="0"/>
          <w:sz w:val="24"/>
        </w:rPr>
        <w:t xml:space="preserve">The coefficient of interest is </w:t>
      </w:r>
      <w:r>
        <w:rPr>
          <w:rFonts w:ascii="Times New Roman" w:hAnsi="Times New Roman" w:eastAsia="Times New Roman"/>
          <w:b/>
          <w:i/>
          <w:sz w:val="24"/>
        </w:rPr>
        <w:t>β</w:t>
      </w:r>
      <w:r>
        <w:rPr>
          <w:rFonts w:ascii="Times New Roman" w:hAnsi="Times New Roman" w:eastAsia="Times New Roman"/>
          <w:b/>
          <w:i/>
          <w:sz w:val="24"/>
          <w:vertAlign w:val="subscript"/>
        </w:rPr>
        <w:t>1</w:t>
      </w:r>
      <w:r>
        <w:rPr>
          <w:rFonts w:ascii="Times New Roman" w:hAnsi="Times New Roman" w:eastAsia="Times New Roman"/>
          <w:i w:val="0"/>
          <w:sz w:val="24"/>
        </w:rPr>
        <w:t>, which measures whether funds with higher pre-shock AI exposure experienced stronger inflows after ChatGPT.</w:t>
      </w:r>
    </w:p>
    <w:p w14:paraId="698DC88C">
      <w:pPr>
        <w:spacing w:before="0" w:after="0" w:line="360" w:lineRule="auto"/>
        <w:jc w:val="left"/>
      </w:pPr>
    </w:p>
    <w:p w14:paraId="3B6F986A">
      <w:pPr>
        <w:spacing w:before="0" w:after="0" w:line="360" w:lineRule="auto"/>
        <w:jc w:val="left"/>
      </w:pPr>
      <w:r>
        <w:rPr>
          <w:rFonts w:ascii="Times New Roman" w:hAnsi="Times New Roman" w:eastAsia="Times New Roman"/>
          <w:b/>
          <w:i w:val="0"/>
          <w:sz w:val="24"/>
        </w:rPr>
        <w:t>3.5.2 Event-Study Specification</w:t>
      </w:r>
    </w:p>
    <w:p w14:paraId="0B9A77C7">
      <w:pPr>
        <w:spacing w:before="0" w:after="120" w:line="276" w:lineRule="auto"/>
        <w:jc w:val="left"/>
      </w:pPr>
      <w:r>
        <w:rPr>
          <w:rFonts w:ascii="Times New Roman" w:hAnsi="Times New Roman" w:eastAsia="Times New Roman"/>
          <w:b w:val="0"/>
          <w:i w:val="0"/>
          <w:sz w:val="24"/>
        </w:rPr>
        <w:t>To examine dynamic treatment effects and evaluate the parallel-trend assumption, this study estimates the following event-study specification in relative event time:</w:t>
      </w:r>
    </w:p>
    <w:p w14:paraId="1A187C9D">
      <w:pPr>
        <w:spacing w:before="0" w:after="0" w:line="360" w:lineRule="auto"/>
        <w:jc w:val="left"/>
      </w:pPr>
    </w:p>
    <w:p w14:paraId="73906FC0">
      <w:pPr>
        <w:spacing w:before="0" w:after="0" w:line="360" w:lineRule="auto"/>
        <w:ind w:left="360" w:right="3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w:t>
      </w:r>
      <w:r>
        <w:rPr>
          <w:rFonts w:ascii="Times New Roman" w:hAnsi="Times New Roman" w:eastAsia="Times New Roman"/>
          <w:i/>
          <w:sz w:val="24"/>
          <w:vertAlign w:val="subscript"/>
        </w:rPr>
        <w:t>k=-12,k≠-1</w:t>
      </w:r>
      <w:r>
        <w:rPr>
          <w:rFonts w:ascii="Times New Roman" w:hAnsi="Times New Roman" w:eastAsia="Times New Roman"/>
          <w:i/>
          <w:sz w:val="24"/>
          <w:vertAlign w:val="superscript"/>
        </w:rPr>
        <w:t>24</w:t>
      </w:r>
      <w:r>
        <w:rPr>
          <w:rFonts w:ascii="Times New Roman" w:hAnsi="Times New Roman" w:eastAsia="Times New Roman"/>
          <w:i/>
          <w:sz w:val="24"/>
        </w:rPr>
        <w:t>β</w:t>
      </w:r>
      <w:r>
        <w:rPr>
          <w:rFonts w:ascii="Times New Roman" w:hAnsi="Times New Roman" w:eastAsia="Times New Roman"/>
          <w:i/>
          <w:sz w:val="24"/>
          <w:vertAlign w:val="subscript"/>
        </w:rPr>
        <w:t>k</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1[RelMonth</w:t>
      </w:r>
      <w:r>
        <w:rPr>
          <w:rFonts w:ascii="Times New Roman" w:hAnsi="Times New Roman" w:eastAsia="Times New Roman"/>
          <w:i/>
          <w:sz w:val="24"/>
          <w:vertAlign w:val="subscript"/>
        </w:rPr>
        <w:t>t</w:t>
      </w:r>
      <w:r>
        <w:rPr>
          <w:rFonts w:ascii="Times New Roman" w:hAnsi="Times New Roman" w:eastAsia="Times New Roman"/>
          <w:i/>
          <w:sz w:val="24"/>
        </w:rPr>
        <w:t xml:space="preserve"> = k])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（18）</w:t>
      </w:r>
    </w:p>
    <w:p w14:paraId="12900FB3">
      <w:pPr>
        <w:spacing w:before="0" w:after="0" w:line="360" w:lineRule="auto"/>
        <w:jc w:val="left"/>
      </w:pPr>
    </w:p>
    <w:p w14:paraId="46E08614">
      <w:pPr>
        <w:spacing w:before="0" w:after="0" w:line="360" w:lineRule="auto"/>
        <w:jc w:val="left"/>
      </w:pPr>
      <w:r>
        <w:rPr>
          <w:rFonts w:ascii="Times New Roman" w:hAnsi="Times New Roman" w:eastAsia="Times New Roman"/>
          <w:b w:val="0"/>
          <w:i w:val="0"/>
          <w:sz w:val="24"/>
        </w:rPr>
        <w:t>Month -1 is omitted as the reference period.</w:t>
      </w:r>
    </w:p>
    <w:p>
      <w:pPr>
        <w:spacing w:after="120" w:line="276" w:lineRule="auto"/>
      </w:pPr>
      <w:r>
        <w:rPr>
          <w:rFonts w:ascii="Times New Roman" w:hAnsi="Times New Roman" w:eastAsia="Times New Roman"/>
          <w:b w:val="0"/>
          <w:i w:val="0"/>
          <w:sz w:val="24"/>
        </w:rPr>
        <w:t>The event-study design estimates separate interaction coefficients for each relative month, allowing the treatment effect to vary over time rather than imposing a single post-treatment average. Pre-treatment coefficients provide a direct parallel-trend assessment, while post-treatment coefficients trace the dynamic adjustment of investor flows following the ChatGPT shock.</w:t>
      </w:r>
    </w:p>
    <w:p w14:paraId="47A78677">
      <w:pPr>
        <w:spacing w:before="0" w:after="0" w:line="360" w:lineRule="auto"/>
        <w:jc w:val="left"/>
      </w:pPr>
    </w:p>
    <w:p w14:paraId="3EC795F5">
      <w:pPr>
        <w:spacing w:before="0" w:after="0" w:line="360" w:lineRule="auto"/>
        <w:jc w:val="left"/>
      </w:pPr>
      <w:r>
        <w:rPr>
          <w:rFonts w:ascii="Times New Roman" w:hAnsi="Times New Roman" w:eastAsia="Times New Roman"/>
          <w:b/>
          <w:i w:val="0"/>
          <w:sz w:val="24"/>
        </w:rPr>
        <w:t>3.5.3 Heterogeneity Model</w:t>
      </w:r>
    </w:p>
    <w:p w14:paraId="13AA4A83">
      <w:pPr>
        <w:spacing w:before="0" w:after="0" w:line="360" w:lineRule="auto"/>
        <w:jc w:val="left"/>
      </w:pPr>
      <w:r>
        <w:rPr>
          <w:rFonts w:ascii="Times New Roman" w:hAnsi="Times New Roman" w:eastAsia="Times New Roman"/>
          <w:b w:val="0"/>
          <w:i w:val="0"/>
          <w:sz w:val="24"/>
        </w:rPr>
        <w:t>To test whether prior performance moderates investor responses, the following triple-interaction model is estimated:</w:t>
      </w:r>
    </w:p>
    <w:p w14:paraId="61B749A7">
      <w:pPr>
        <w:spacing w:before="0" w:after="0" w:line="360" w:lineRule="auto"/>
        <w:jc w:val="left"/>
      </w:pPr>
    </w:p>
    <w:p w14:paraId="021F2B92">
      <w:pPr>
        <w:spacing w:before="0" w:after="0" w:line="360" w:lineRule="auto"/>
        <w:ind w:left="360" w:right="3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β</w:t>
      </w:r>
      <w:r>
        <w:rPr>
          <w:rFonts w:ascii="Times New Roman" w:hAnsi="Times New Roman" w:eastAsia="Times New Roman"/>
          <w:i/>
          <w:sz w:val="24"/>
          <w:vertAlign w:val="subscript"/>
        </w:rPr>
        <w:t>2</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xml:space="preserve"> × GoodFund</w:t>
      </w:r>
      <w:r>
        <w:rPr>
          <w:rFonts w:ascii="Times New Roman" w:hAnsi="Times New Roman" w:eastAsia="Times New Roman"/>
          <w:i/>
          <w:sz w:val="24"/>
          <w:vertAlign w:val="subscript"/>
        </w:rPr>
        <w:t>i</w:t>
      </w:r>
      <w:r>
        <w:rPr>
          <w:rFonts w:ascii="Times New Roman" w:hAnsi="Times New Roman" w:eastAsia="Times New Roman"/>
          <w:i/>
          <w:sz w:val="24"/>
        </w:rPr>
        <w:t>) + β</w:t>
      </w:r>
      <w:r>
        <w:rPr>
          <w:rFonts w:ascii="Times New Roman" w:hAnsi="Times New Roman" w:eastAsia="Times New Roman"/>
          <w:i/>
          <w:sz w:val="24"/>
          <w:vertAlign w:val="subscript"/>
        </w:rPr>
        <w:t>3</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xml:space="preserve"> × GoodFund</w:t>
      </w:r>
      <w:r>
        <w:rPr>
          <w:rFonts w:ascii="Times New Roman" w:hAnsi="Times New Roman" w:eastAsia="Times New Roman"/>
          <w:i/>
          <w:sz w:val="24"/>
          <w:vertAlign w:val="subscript"/>
        </w:rPr>
        <w:t>i</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（19）</w:t>
      </w:r>
    </w:p>
    <w:p w14:paraId="3EF92F2D">
      <w:pPr>
        <w:spacing w:before="0" w:after="0" w:line="360" w:lineRule="auto"/>
        <w:jc w:val="left"/>
      </w:pPr>
    </w:p>
    <w:p w14:paraId="54930D40">
      <w:pPr>
        <w:spacing w:before="0" w:after="0" w:line="360" w:lineRule="auto"/>
        <w:jc w:val="left"/>
      </w:pPr>
      <w:r>
        <w:rPr>
          <w:rFonts w:ascii="Times New Roman" w:hAnsi="Times New Roman" w:eastAsia="Times New Roman"/>
          <w:i w:val="0"/>
          <w:sz w:val="24"/>
        </w:rPr>
        <w:t xml:space="preserve">The coefficient </w:t>
      </w:r>
      <w:r>
        <w:rPr>
          <w:rFonts w:ascii="Times New Roman" w:hAnsi="Times New Roman" w:eastAsia="Times New Roman"/>
          <w:b/>
          <w:i/>
          <w:sz w:val="24"/>
        </w:rPr>
        <w:t>β</w:t>
      </w:r>
      <w:r>
        <w:rPr>
          <w:rFonts w:ascii="Times New Roman" w:hAnsi="Times New Roman" w:eastAsia="Times New Roman"/>
          <w:b/>
          <w:i/>
          <w:sz w:val="24"/>
          <w:vertAlign w:val="subscript"/>
        </w:rPr>
        <w:t>3</w:t>
      </w:r>
      <w:r>
        <w:rPr>
          <w:rFonts w:ascii="Times New Roman" w:hAnsi="Times New Roman" w:eastAsia="Times New Roman"/>
          <w:i w:val="0"/>
          <w:sz w:val="24"/>
        </w:rPr>
        <w:t xml:space="preserve"> captures whether high-alpha funds experience stronger AI-related inflows after the ChatGPT shock.</w:t>
      </w:r>
    </w:p>
    <w:p w14:paraId="716308A5">
      <w:pPr>
        <w:spacing w:before="0" w:after="0" w:line="360" w:lineRule="auto"/>
        <w:jc w:val="left"/>
      </w:pPr>
    </w:p>
    <w:p w14:paraId="4D5AB84F">
      <w:pPr>
        <w:spacing w:before="0" w:after="0" w:line="360" w:lineRule="auto"/>
        <w:jc w:val="left"/>
      </w:pPr>
      <w:r>
        <w:rPr>
          <w:rFonts w:ascii="Times New Roman" w:hAnsi="Times New Roman" w:eastAsia="Times New Roman"/>
          <w:b/>
          <w:i w:val="0"/>
          <w:sz w:val="24"/>
        </w:rPr>
        <w:t>3.5.4 Portfolio Allocation Models</w:t>
      </w:r>
    </w:p>
    <w:p w14:paraId="610EA810">
      <w:pPr>
        <w:spacing w:before="0" w:after="0" w:line="360" w:lineRule="auto"/>
        <w:jc w:val="left"/>
      </w:pPr>
      <w:r>
        <w:rPr>
          <w:rFonts w:ascii="Times New Roman" w:hAnsi="Times New Roman" w:eastAsia="Times New Roman"/>
          <w:b w:val="0"/>
          <w:i w:val="0"/>
          <w:sz w:val="24"/>
        </w:rPr>
        <w:t>The H3 quarterly models are estimated as:</w:t>
      </w:r>
    </w:p>
    <w:p w14:paraId="56940C94">
      <w:pPr>
        <w:spacing w:before="0" w:after="0" w:line="360" w:lineRule="auto"/>
        <w:jc w:val="left"/>
      </w:pPr>
    </w:p>
    <w:p w14:paraId="240D222E">
      <w:pPr>
        <w:spacing w:before="0" w:after="0" w:line="360" w:lineRule="auto"/>
        <w:ind w:left="360" w:right="360"/>
        <w:jc w:val="center"/>
      </w:pPr>
      <w:r>
        <w:rPr>
          <w:rFonts w:ascii="Times New Roman" w:hAnsi="Times New Roman" w:eastAsia="Times New Roman"/>
          <w:i/>
          <w:sz w:val="24"/>
        </w:rPr>
        <w:t>NewAIPositions</w:t>
      </w:r>
      <w:r>
        <w:rPr>
          <w:rFonts w:ascii="Times New Roman" w:hAnsi="Times New Roman" w:eastAsia="Times New Roman"/>
          <w:i/>
          <w:sz w:val="24"/>
          <w:vertAlign w:val="subscript"/>
        </w:rPr>
        <w:t>i,q</w:t>
      </w:r>
      <w:r>
        <w:rPr>
          <w:rFonts w:ascii="Times New Roman" w:hAnsi="Times New Roman" w:eastAsia="Times New Roman"/>
          <w:i/>
          <w:sz w:val="24"/>
        </w:rPr>
        <w:t xml:space="preserve">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b w:val="0"/>
          <w:i w:val="0"/>
          <w:sz w:val="24"/>
        </w:rPr>
        <w:t xml:space="preserve">    （20）</w:t>
      </w:r>
    </w:p>
    <w:p w14:paraId="368A2005">
      <w:pPr>
        <w:spacing w:before="0" w:after="0" w:line="360" w:lineRule="auto"/>
        <w:jc w:val="left"/>
      </w:pPr>
    </w:p>
    <w:p w14:paraId="7FDFF285">
      <w:pPr>
        <w:spacing w:before="0" w:after="0" w:line="360" w:lineRule="auto"/>
        <w:jc w:val="left"/>
      </w:pPr>
      <w:r>
        <w:rPr>
          <w:rFonts w:ascii="Times New Roman" w:hAnsi="Times New Roman" w:eastAsia="Times New Roman"/>
          <w:b w:val="0"/>
          <w:i w:val="0"/>
          <w:sz w:val="24"/>
        </w:rPr>
        <w:t>and:</w:t>
      </w:r>
    </w:p>
    <w:p w14:paraId="017A9B4C">
      <w:pPr>
        <w:spacing w:before="0" w:after="0" w:line="360" w:lineRule="auto"/>
        <w:jc w:val="left"/>
      </w:pPr>
    </w:p>
    <w:p w14:paraId="5555D986">
      <w:pPr>
        <w:spacing w:before="0" w:after="0" w:line="360" w:lineRule="auto"/>
        <w:ind w:left="360" w:right="360"/>
        <w:jc w:val="center"/>
      </w:pPr>
      <w:r>
        <w:rPr>
          <w:rFonts w:ascii="Times New Roman" w:hAnsi="Times New Roman" w:eastAsia="Times New Roman"/>
          <w:i/>
          <w:sz w:val="24"/>
        </w:rPr>
        <w:t>AIShare</w:t>
      </w:r>
      <w:r>
        <w:rPr>
          <w:rFonts w:ascii="Times New Roman" w:hAnsi="Times New Roman" w:eastAsia="Times New Roman"/>
          <w:i/>
          <w:sz w:val="24"/>
          <w:vertAlign w:val="subscript"/>
        </w:rPr>
        <w:t>i,q</w:t>
      </w:r>
      <w:r>
        <w:rPr>
          <w:rFonts w:ascii="Times New Roman" w:hAnsi="Times New Roman" w:eastAsia="Times New Roman"/>
          <w:i/>
          <w:sz w:val="24"/>
        </w:rPr>
        <w:t xml:space="preserve">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b w:val="0"/>
          <w:i w:val="0"/>
          <w:sz w:val="24"/>
        </w:rPr>
        <w:t xml:space="preserve">    （21）</w:t>
      </w:r>
    </w:p>
    <w:p w14:paraId="05A0DB65">
      <w:pPr>
        <w:spacing w:before="0" w:after="0" w:line="360" w:lineRule="auto"/>
        <w:jc w:val="left"/>
      </w:pPr>
    </w:p>
    <w:p w14:paraId="7B0E5286">
      <w:pPr>
        <w:spacing w:before="0" w:after="120" w:line="276" w:lineRule="auto"/>
        <w:jc w:val="left"/>
      </w:pPr>
      <w:r>
        <w:rPr>
          <w:rFonts w:ascii="Times New Roman" w:hAnsi="Times New Roman" w:eastAsia="Times New Roman"/>
          <w:b w:val="0"/>
          <w:i w:val="0"/>
          <w:sz w:val="24"/>
        </w:rPr>
        <w:t>Both specifications include fund fixed effects, quarter fixed effects, and clustered standard errors. Fund fixed effects absorb persistent differences in portfolio mandates and investment styles, while quarter fixed effects control for aggregate market conditions and common technology-sector shocks at the quarterly frequency.</w:t>
      </w:r>
    </w:p>
    <w:p w14:paraId="51535E62">
      <w:pPr>
        <w:spacing w:before="0" w:after="0" w:line="360" w:lineRule="auto"/>
        <w:jc w:val="left"/>
      </w:pPr>
    </w:p>
    <w:p w14:paraId="66E248FB">
      <w:pPr>
        <w:spacing w:before="0" w:after="0" w:line="360" w:lineRule="auto"/>
        <w:jc w:val="left"/>
      </w:pPr>
      <w:r>
        <w:rPr>
          <w:rFonts w:ascii="Times New Roman" w:hAnsi="Times New Roman" w:eastAsia="Times New Roman"/>
          <w:b/>
          <w:i w:val="0"/>
          <w:sz w:val="24"/>
        </w:rPr>
        <w:t>3.6 Methodological Strengths and Limitations</w:t>
      </w:r>
    </w:p>
    <w:p w14:paraId="23FF3B88">
      <w:pPr>
        <w:spacing w:before="0" w:after="120" w:line="276" w:lineRule="auto"/>
        <w:jc w:val="left"/>
      </w:pPr>
      <w:r>
        <w:rPr>
          <w:rFonts w:ascii="Times New Roman" w:hAnsi="Times New Roman" w:eastAsia="Times New Roman"/>
          <w:b w:val="0"/>
          <w:i w:val="0"/>
          <w:sz w:val="24"/>
        </w:rPr>
        <w:t>This study has several methodological strengths. First, the use of pre-shock AI exposure helps reduce reverse causality concerns because exposure is measured before the release of ChatGPT. Second, fund and time fixed effects control for unobserved heterogeneity and common macroeconomic shocks. Third, alternative exposure thresholds reduce treatment-definition sensitivity, while event-study analysis and heterogeneity specifications provide additional checks on dynamic adjustment and cross-sectional mechanisms. Robustness results are interpreted as supportive when the estimated effects remain qualitatively consistent across specifications.</w:t>
      </w:r>
    </w:p>
    <w:p w14:paraId="49EAA58A">
      <w:pPr>
        <w:spacing w:before="0" w:after="0" w:line="360" w:lineRule="auto"/>
        <w:jc w:val="left"/>
      </w:pPr>
    </w:p>
    <w:p w14:paraId="7118E0C8">
      <w:pPr>
        <w:spacing w:before="0" w:after="0" w:line="360" w:lineRule="auto"/>
        <w:jc w:val="left"/>
        <w:rPr>
          <w:rFonts w:ascii="Times New Roman" w:hAnsi="Times New Roman" w:eastAsia="Times New Roman"/>
          <w:b w:val="0"/>
          <w:i w:val="0"/>
          <w:sz w:val="24"/>
        </w:rPr>
      </w:pPr>
      <w:r>
        <w:rPr>
          <w:rFonts w:ascii="Times New Roman" w:hAnsi="Times New Roman" w:eastAsia="Times New Roman"/>
          <w:b w:val="0"/>
          <w:i w:val="0"/>
          <w:sz w:val="24"/>
        </w:rPr>
        <w:t xml:space="preserve">Nevertheless, several limitations should also be acknowledged. The AI exposure measure depends on ticker-based classification of AI-related firms, which may not perfectly capture true AI involvement. In addition, the ChatGPT shock may coincide with broader technology-sector developments and macroeconomic events occurring during the same period. The event-study analysis also shows one significantly negative pre-treatment coefficient, suggesting that the parallel-trend assumption should be interpreted cautiously rather than treated as perfectly satisfied. Finally, holdings-based </w:t>
      </w:r>
      <w:r>
        <w:rPr>
          <w:rFonts w:ascii="Times New Roman" w:hAnsi="Times New Roman" w:eastAsia="Times New Roman"/>
          <w:b/>
          <w:i w:val="0"/>
          <w:sz w:val="24"/>
        </w:rPr>
        <w:t>percent_tna</w:t>
      </w:r>
      <w:r>
        <w:rPr>
          <w:rFonts w:ascii="Times New Roman" w:hAnsi="Times New Roman" w:eastAsia="Times New Roman"/>
          <w:b w:val="0"/>
          <w:i w:val="0"/>
          <w:sz w:val="24"/>
        </w:rPr>
        <w:t xml:space="preserve"> measures occasionally contain extreme values above 100 or below zero due to leverage, derivatives, or reporting conventions, requiring careful interpretation of portfolio-share magnitudes.</w:t>
      </w:r>
    </w:p>
    <w:p w14:paraId="0ED075D3">
      <w:pPr>
        <w:spacing w:before="0" w:after="0" w:line="360" w:lineRule="auto"/>
        <w:jc w:val="left"/>
        <w:rPr>
          <w:rFonts w:ascii="Times New Roman" w:hAnsi="Times New Roman" w:eastAsia="Times New Roman"/>
          <w:b w:val="0"/>
          <w:i w:val="0"/>
          <w:sz w:val="24"/>
        </w:rPr>
      </w:pPr>
    </w:p>
    <w:p w14:paraId="544F6BC9">
      <w:pPr>
        <w:spacing w:before="0" w:after="0" w:line="360" w:lineRule="auto"/>
        <w:jc w:val="left"/>
        <w:rPr>
          <w:sz w:val="20"/>
          <w:szCs w:val="22"/>
        </w:rPr>
      </w:pPr>
      <w:r>
        <w:rPr>
          <w:rFonts w:ascii="Times New Roman" w:hAnsi="Times New Roman" w:eastAsia="Times New Roman"/>
          <w:b/>
          <w:sz w:val="28"/>
          <w:szCs w:val="22"/>
        </w:rPr>
        <w:t>4</w:t>
      </w:r>
      <w:r>
        <w:rPr>
          <w:rFonts w:hint="default" w:ascii="Times New Roman" w:hAnsi="Times New Roman" w:eastAsia="Times New Roman"/>
          <w:b/>
          <w:sz w:val="28"/>
          <w:szCs w:val="22"/>
          <w:lang w:val="en-US"/>
        </w:rPr>
        <w:t>.</w:t>
      </w:r>
      <w:r>
        <w:rPr>
          <w:rFonts w:ascii="Times New Roman" w:hAnsi="Times New Roman" w:eastAsia="Times New Roman"/>
          <w:b/>
          <w:sz w:val="28"/>
          <w:szCs w:val="22"/>
        </w:rPr>
        <w:t>Empirical Results</w:t>
      </w:r>
    </w:p>
    <w:p w14:paraId="161CDA23">
      <w:pPr>
        <w:spacing w:before="160" w:after="120"/>
        <w:rPr>
          <w:sz w:val="20"/>
          <w:szCs w:val="22"/>
        </w:rPr>
      </w:pPr>
      <w:r>
        <w:rPr>
          <w:rFonts w:ascii="Times New Roman" w:hAnsi="Times New Roman" w:eastAsia="Times New Roman"/>
          <w:b/>
          <w:sz w:val="24"/>
          <w:szCs w:val="22"/>
        </w:rPr>
        <w:t>4.1 Descriptive Statistics</w:t>
      </w:r>
    </w:p>
    <w:p w14:paraId="3BD1C35B">
      <w:pPr>
        <w:spacing w:after="120" w:line="276" w:lineRule="auto"/>
      </w:pPr>
      <w:r>
        <w:rPr>
          <w:rFonts w:ascii="Times New Roman" w:hAnsi="Times New Roman" w:eastAsia="Times New Roman"/>
          <w:sz w:val="24"/>
        </w:rPr>
        <w:t>This chapter presents the empirical evidence on whether the release of ChatGPT changed investor flows and portfolio allocation among U.S. mutual funds. The final monthly fund-flow panel contains 82,531 fund-month observations from February 2020 to December 2025. The pre-shock exposure sample contains 1,425 funds, of which 1,269 funds are successfully matched to CRSP monthly mutual fund data. The H3 portfolio allocation sample contains 28,034 fund-quarter observations before the regression sample is reduced by lagged controls.</w:t>
      </w:r>
    </w:p>
    <w:p w14:paraId="5559239C">
      <w:pPr>
        <w:spacing w:after="120" w:line="276" w:lineRule="auto"/>
      </w:pPr>
      <w:r>
        <w:rPr>
          <w:rFonts w:ascii="Times New Roman" w:hAnsi="Times New Roman" w:eastAsia="Times New Roman"/>
          <w:sz w:val="24"/>
        </w:rPr>
        <w:t xml:space="preserve">Table 1 reports summary statistics for the main variables used in the empirical analysis. The dependent variable </w:t>
      </w:r>
      <w:r>
        <w:rPr>
          <w:rFonts w:ascii="Times New Roman" w:hAnsi="Times New Roman" w:eastAsia="Times New Roman"/>
          <w:b/>
          <w:sz w:val="24"/>
        </w:rPr>
        <w:t>flow_w</w:t>
      </w:r>
      <w:r>
        <w:rPr>
          <w:rFonts w:ascii="Times New Roman" w:hAnsi="Times New Roman" w:eastAsia="Times New Roman"/>
          <w:sz w:val="24"/>
        </w:rPr>
        <w:t xml:space="preserve"> is centered close to zero, with a mean of -0.0026 and a median of -0.0068, indicating that most monthly fund flows are small relative to lagged assets. The winsorized range, from -0.3916 to 0.6548, shows that the empirical design limits the influence of extreme fund-flow observations while preserving meaningful dispersion in investor capital movements.</w:t>
      </w:r>
    </w:p>
    <w:p w14:paraId="065086C8">
      <w:pPr>
        <w:spacing w:before="160" w:after="80"/>
        <w:jc w:val="center"/>
      </w:pPr>
      <w:r>
        <w:rPr>
          <w:rFonts w:ascii="Times New Roman" w:hAnsi="Times New Roman" w:eastAsia="Times New Roman"/>
          <w:b/>
          <w:sz w:val="22"/>
        </w:rPr>
        <w:t>Table 1. Summary Statistics</w:t>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54D252C5">
        <w:trPr>
          <w:jc w:val="center"/>
        </w:trPr>
        <w:tc>
          <w:tcPr>
            <w:tcW w:w="1384" w:type="dxa"/>
            <w:shd w:val="clear" w:color="auto" w:fill="D9EAF7"/>
            <w:tcMar>
              <w:top w:w="80" w:type="dxa"/>
              <w:left w:w="70" w:type="dxa"/>
              <w:bottom w:w="80" w:type="dxa"/>
              <w:right w:w="70" w:type="dxa"/>
            </w:tcMar>
            <w:vAlign w:val="center"/>
          </w:tcPr>
          <w:p w14:paraId="2154BF6A">
            <w:pPr>
              <w:jc w:val="center"/>
            </w:pPr>
            <w:r>
              <w:rPr>
                <w:rFonts w:ascii="Times New Roman" w:hAnsi="Times New Roman" w:eastAsia="Times New Roman"/>
                <w:b/>
                <w:sz w:val="17"/>
              </w:rPr>
              <w:t>Variable</w:t>
            </w:r>
          </w:p>
        </w:tc>
        <w:tc>
          <w:tcPr>
            <w:tcW w:w="1384" w:type="dxa"/>
            <w:shd w:val="clear" w:color="auto" w:fill="D9EAF7"/>
            <w:tcMar>
              <w:top w:w="80" w:type="dxa"/>
              <w:left w:w="70" w:type="dxa"/>
              <w:bottom w:w="80" w:type="dxa"/>
              <w:right w:w="70" w:type="dxa"/>
            </w:tcMar>
            <w:vAlign w:val="center"/>
          </w:tcPr>
          <w:p w14:paraId="382A47A7">
            <w:pPr>
              <w:jc w:val="center"/>
            </w:pPr>
            <w:r>
              <w:rPr>
                <w:rFonts w:ascii="Times New Roman" w:hAnsi="Times New Roman" w:eastAsia="Times New Roman"/>
                <w:b/>
                <w:sz w:val="17"/>
              </w:rPr>
              <w:t>Mean</w:t>
            </w:r>
          </w:p>
        </w:tc>
        <w:tc>
          <w:tcPr>
            <w:tcW w:w="1384" w:type="dxa"/>
            <w:shd w:val="clear" w:color="auto" w:fill="D9EAF7"/>
            <w:tcMar>
              <w:top w:w="80" w:type="dxa"/>
              <w:left w:w="70" w:type="dxa"/>
              <w:bottom w:w="80" w:type="dxa"/>
              <w:right w:w="70" w:type="dxa"/>
            </w:tcMar>
            <w:vAlign w:val="center"/>
          </w:tcPr>
          <w:p w14:paraId="67B70380">
            <w:pPr>
              <w:jc w:val="center"/>
            </w:pPr>
            <w:r>
              <w:rPr>
                <w:rFonts w:ascii="Times New Roman" w:hAnsi="Times New Roman" w:eastAsia="Times New Roman"/>
                <w:b/>
                <w:sz w:val="17"/>
              </w:rPr>
              <w:t>Std.</w:t>
            </w:r>
          </w:p>
        </w:tc>
        <w:tc>
          <w:tcPr>
            <w:tcW w:w="1384" w:type="dxa"/>
            <w:shd w:val="clear" w:color="auto" w:fill="D9EAF7"/>
            <w:tcMar>
              <w:top w:w="80" w:type="dxa"/>
              <w:left w:w="70" w:type="dxa"/>
              <w:bottom w:w="80" w:type="dxa"/>
              <w:right w:w="70" w:type="dxa"/>
            </w:tcMar>
            <w:vAlign w:val="center"/>
          </w:tcPr>
          <w:p w14:paraId="14B3E38A">
            <w:pPr>
              <w:jc w:val="center"/>
            </w:pPr>
            <w:r>
              <w:rPr>
                <w:rFonts w:ascii="Times New Roman" w:hAnsi="Times New Roman" w:eastAsia="Times New Roman"/>
                <w:b/>
                <w:sz w:val="17"/>
              </w:rPr>
              <w:t>Min</w:t>
            </w:r>
          </w:p>
        </w:tc>
        <w:tc>
          <w:tcPr>
            <w:tcW w:w="1384" w:type="dxa"/>
            <w:shd w:val="clear" w:color="auto" w:fill="D9EAF7"/>
            <w:tcMar>
              <w:top w:w="80" w:type="dxa"/>
              <w:left w:w="70" w:type="dxa"/>
              <w:bottom w:w="80" w:type="dxa"/>
              <w:right w:w="70" w:type="dxa"/>
            </w:tcMar>
            <w:vAlign w:val="center"/>
          </w:tcPr>
          <w:p w14:paraId="782A45C6">
            <w:pPr>
              <w:jc w:val="center"/>
            </w:pPr>
            <w:r>
              <w:rPr>
                <w:rFonts w:ascii="Times New Roman" w:hAnsi="Times New Roman" w:eastAsia="Times New Roman"/>
                <w:b/>
                <w:sz w:val="17"/>
              </w:rPr>
              <w:t>Max</w:t>
            </w:r>
          </w:p>
        </w:tc>
        <w:tc>
          <w:tcPr>
            <w:tcW w:w="1384" w:type="dxa"/>
            <w:shd w:val="clear" w:color="auto" w:fill="D9EAF7"/>
            <w:tcMar>
              <w:top w:w="80" w:type="dxa"/>
              <w:left w:w="70" w:type="dxa"/>
              <w:bottom w:w="80" w:type="dxa"/>
              <w:right w:w="70" w:type="dxa"/>
            </w:tcMar>
            <w:vAlign w:val="center"/>
          </w:tcPr>
          <w:p w14:paraId="442F5D64">
            <w:pPr>
              <w:jc w:val="center"/>
            </w:pPr>
            <w:r>
              <w:rPr>
                <w:rFonts w:ascii="Times New Roman" w:hAnsi="Times New Roman" w:eastAsia="Times New Roman"/>
                <w:b/>
                <w:sz w:val="17"/>
              </w:rPr>
              <w:t>Median</w:t>
            </w:r>
          </w:p>
        </w:tc>
      </w:tr>
      <w:tr w14:paraId="64574F00">
        <w:trPr>
          <w:jc w:val="center"/>
        </w:trPr>
        <w:tc>
          <w:tcPr>
            <w:tcW w:w="1384" w:type="dxa"/>
            <w:tcMar>
              <w:top w:w="80" w:type="dxa"/>
              <w:left w:w="70" w:type="dxa"/>
              <w:bottom w:w="80" w:type="dxa"/>
              <w:right w:w="70" w:type="dxa"/>
            </w:tcMar>
            <w:vAlign w:val="center"/>
          </w:tcPr>
          <w:p w14:paraId="3C4202EF">
            <w:pPr>
              <w:jc w:val="left"/>
            </w:pPr>
            <w:r>
              <w:rPr>
                <w:rFonts w:ascii="Times New Roman" w:hAnsi="Times New Roman" w:eastAsia="Times New Roman"/>
                <w:b w:val="0"/>
                <w:sz w:val="17"/>
              </w:rPr>
              <w:t>flow_w</w:t>
            </w:r>
          </w:p>
        </w:tc>
        <w:tc>
          <w:tcPr>
            <w:tcW w:w="1384" w:type="dxa"/>
            <w:tcMar>
              <w:top w:w="80" w:type="dxa"/>
              <w:left w:w="70" w:type="dxa"/>
              <w:bottom w:w="80" w:type="dxa"/>
              <w:right w:w="70" w:type="dxa"/>
            </w:tcMar>
            <w:vAlign w:val="center"/>
          </w:tcPr>
          <w:p w14:paraId="4D9830D4">
            <w:pPr>
              <w:jc w:val="center"/>
            </w:pPr>
            <w:r>
              <w:rPr>
                <w:rFonts w:ascii="Times New Roman" w:hAnsi="Times New Roman" w:eastAsia="Times New Roman"/>
                <w:b w:val="0"/>
                <w:sz w:val="17"/>
              </w:rPr>
              <w:t>-0.002589</w:t>
            </w:r>
          </w:p>
        </w:tc>
        <w:tc>
          <w:tcPr>
            <w:tcW w:w="1384" w:type="dxa"/>
            <w:tcMar>
              <w:top w:w="80" w:type="dxa"/>
              <w:left w:w="70" w:type="dxa"/>
              <w:bottom w:w="80" w:type="dxa"/>
              <w:right w:w="70" w:type="dxa"/>
            </w:tcMar>
            <w:vAlign w:val="center"/>
          </w:tcPr>
          <w:p w14:paraId="12A3058E">
            <w:pPr>
              <w:jc w:val="center"/>
            </w:pPr>
            <w:r>
              <w:rPr>
                <w:rFonts w:ascii="Times New Roman" w:hAnsi="Times New Roman" w:eastAsia="Times New Roman"/>
                <w:b w:val="0"/>
                <w:sz w:val="17"/>
              </w:rPr>
              <w:t>0.108019</w:t>
            </w:r>
          </w:p>
        </w:tc>
        <w:tc>
          <w:tcPr>
            <w:tcW w:w="1384" w:type="dxa"/>
            <w:tcMar>
              <w:top w:w="80" w:type="dxa"/>
              <w:left w:w="70" w:type="dxa"/>
              <w:bottom w:w="80" w:type="dxa"/>
              <w:right w:w="70" w:type="dxa"/>
            </w:tcMar>
            <w:vAlign w:val="center"/>
          </w:tcPr>
          <w:p w14:paraId="4AEFC586">
            <w:pPr>
              <w:jc w:val="center"/>
            </w:pPr>
            <w:r>
              <w:rPr>
                <w:rFonts w:ascii="Times New Roman" w:hAnsi="Times New Roman" w:eastAsia="Times New Roman"/>
                <w:b w:val="0"/>
                <w:sz w:val="17"/>
              </w:rPr>
              <w:t>-0.391568</w:t>
            </w:r>
          </w:p>
        </w:tc>
        <w:tc>
          <w:tcPr>
            <w:tcW w:w="1384" w:type="dxa"/>
            <w:tcMar>
              <w:top w:w="80" w:type="dxa"/>
              <w:left w:w="70" w:type="dxa"/>
              <w:bottom w:w="80" w:type="dxa"/>
              <w:right w:w="70" w:type="dxa"/>
            </w:tcMar>
            <w:vAlign w:val="center"/>
          </w:tcPr>
          <w:p w14:paraId="597CA84E">
            <w:pPr>
              <w:jc w:val="center"/>
            </w:pPr>
            <w:r>
              <w:rPr>
                <w:rFonts w:ascii="Times New Roman" w:hAnsi="Times New Roman" w:eastAsia="Times New Roman"/>
                <w:b w:val="0"/>
                <w:sz w:val="17"/>
              </w:rPr>
              <w:t>0.654824</w:t>
            </w:r>
          </w:p>
        </w:tc>
        <w:tc>
          <w:tcPr>
            <w:tcW w:w="1384" w:type="dxa"/>
            <w:tcMar>
              <w:top w:w="80" w:type="dxa"/>
              <w:left w:w="70" w:type="dxa"/>
              <w:bottom w:w="80" w:type="dxa"/>
              <w:right w:w="70" w:type="dxa"/>
            </w:tcMar>
            <w:vAlign w:val="center"/>
          </w:tcPr>
          <w:p w14:paraId="1E35FB5F">
            <w:pPr>
              <w:jc w:val="center"/>
            </w:pPr>
            <w:r>
              <w:rPr>
                <w:rFonts w:ascii="Times New Roman" w:hAnsi="Times New Roman" w:eastAsia="Times New Roman"/>
                <w:b w:val="0"/>
                <w:sz w:val="17"/>
              </w:rPr>
              <w:t>-0.006756</w:t>
            </w:r>
          </w:p>
        </w:tc>
      </w:tr>
      <w:tr w14:paraId="769D5CBE">
        <w:trPr>
          <w:jc w:val="center"/>
        </w:trPr>
        <w:tc>
          <w:tcPr>
            <w:tcW w:w="1384" w:type="dxa"/>
            <w:tcMar>
              <w:top w:w="80" w:type="dxa"/>
              <w:left w:w="70" w:type="dxa"/>
              <w:bottom w:w="80" w:type="dxa"/>
              <w:right w:w="70" w:type="dxa"/>
            </w:tcMar>
            <w:vAlign w:val="center"/>
          </w:tcPr>
          <w:p w14:paraId="336FA006">
            <w:pPr>
              <w:jc w:val="left"/>
            </w:pPr>
            <w:r>
              <w:rPr>
                <w:rFonts w:ascii="Times New Roman" w:hAnsi="Times New Roman" w:eastAsia="Times New Roman"/>
                <w:b w:val="0"/>
                <w:sz w:val="17"/>
              </w:rPr>
              <w:t>AIExposureZ</w:t>
            </w:r>
          </w:p>
        </w:tc>
        <w:tc>
          <w:tcPr>
            <w:tcW w:w="1384" w:type="dxa"/>
            <w:tcMar>
              <w:top w:w="80" w:type="dxa"/>
              <w:left w:w="70" w:type="dxa"/>
              <w:bottom w:w="80" w:type="dxa"/>
              <w:right w:w="70" w:type="dxa"/>
            </w:tcMar>
            <w:vAlign w:val="center"/>
          </w:tcPr>
          <w:p w14:paraId="6D6D11C2">
            <w:pPr>
              <w:jc w:val="center"/>
            </w:pPr>
            <w:r>
              <w:rPr>
                <w:rFonts w:ascii="Times New Roman" w:hAnsi="Times New Roman" w:eastAsia="Times New Roman"/>
                <w:b w:val="0"/>
                <w:sz w:val="17"/>
              </w:rPr>
              <w:t>0.008942</w:t>
            </w:r>
          </w:p>
        </w:tc>
        <w:tc>
          <w:tcPr>
            <w:tcW w:w="1384" w:type="dxa"/>
            <w:tcMar>
              <w:top w:w="80" w:type="dxa"/>
              <w:left w:w="70" w:type="dxa"/>
              <w:bottom w:w="80" w:type="dxa"/>
              <w:right w:w="70" w:type="dxa"/>
            </w:tcMar>
            <w:vAlign w:val="center"/>
          </w:tcPr>
          <w:p w14:paraId="7153237E">
            <w:pPr>
              <w:jc w:val="center"/>
            </w:pPr>
            <w:r>
              <w:rPr>
                <w:rFonts w:ascii="Times New Roman" w:hAnsi="Times New Roman" w:eastAsia="Times New Roman"/>
                <w:b w:val="0"/>
                <w:sz w:val="17"/>
              </w:rPr>
              <w:t>0.978815</w:t>
            </w:r>
          </w:p>
        </w:tc>
        <w:tc>
          <w:tcPr>
            <w:tcW w:w="1384" w:type="dxa"/>
            <w:tcMar>
              <w:top w:w="80" w:type="dxa"/>
              <w:left w:w="70" w:type="dxa"/>
              <w:bottom w:w="80" w:type="dxa"/>
              <w:right w:w="70" w:type="dxa"/>
            </w:tcMar>
            <w:vAlign w:val="center"/>
          </w:tcPr>
          <w:p w14:paraId="238B462A">
            <w:pPr>
              <w:jc w:val="center"/>
            </w:pPr>
            <w:r>
              <w:rPr>
                <w:rFonts w:ascii="Times New Roman" w:hAnsi="Times New Roman" w:eastAsia="Times New Roman"/>
                <w:b w:val="0"/>
                <w:sz w:val="17"/>
              </w:rPr>
              <w:t>-2.083038</w:t>
            </w:r>
          </w:p>
        </w:tc>
        <w:tc>
          <w:tcPr>
            <w:tcW w:w="1384" w:type="dxa"/>
            <w:tcMar>
              <w:top w:w="80" w:type="dxa"/>
              <w:left w:w="70" w:type="dxa"/>
              <w:bottom w:w="80" w:type="dxa"/>
              <w:right w:w="70" w:type="dxa"/>
            </w:tcMar>
            <w:vAlign w:val="center"/>
          </w:tcPr>
          <w:p w14:paraId="6C131474">
            <w:pPr>
              <w:jc w:val="center"/>
            </w:pPr>
            <w:r>
              <w:rPr>
                <w:rFonts w:ascii="Times New Roman" w:hAnsi="Times New Roman" w:eastAsia="Times New Roman"/>
                <w:b w:val="0"/>
                <w:sz w:val="17"/>
              </w:rPr>
              <w:t>1.667393</w:t>
            </w:r>
          </w:p>
        </w:tc>
        <w:tc>
          <w:tcPr>
            <w:tcW w:w="1384" w:type="dxa"/>
            <w:tcMar>
              <w:top w:w="80" w:type="dxa"/>
              <w:left w:w="70" w:type="dxa"/>
              <w:bottom w:w="80" w:type="dxa"/>
              <w:right w:w="70" w:type="dxa"/>
            </w:tcMar>
            <w:vAlign w:val="center"/>
          </w:tcPr>
          <w:p w14:paraId="081955C6">
            <w:pPr>
              <w:jc w:val="center"/>
            </w:pPr>
            <w:r>
              <w:rPr>
                <w:rFonts w:ascii="Times New Roman" w:hAnsi="Times New Roman" w:eastAsia="Times New Roman"/>
                <w:b w:val="0"/>
                <w:sz w:val="17"/>
              </w:rPr>
              <w:t>0.323309</w:t>
            </w:r>
          </w:p>
        </w:tc>
      </w:tr>
      <w:tr w14:paraId="52533B30">
        <w:trPr>
          <w:jc w:val="center"/>
        </w:trPr>
        <w:tc>
          <w:tcPr>
            <w:tcW w:w="1384" w:type="dxa"/>
            <w:tcMar>
              <w:top w:w="80" w:type="dxa"/>
              <w:left w:w="70" w:type="dxa"/>
              <w:bottom w:w="80" w:type="dxa"/>
              <w:right w:w="70" w:type="dxa"/>
            </w:tcMar>
            <w:vAlign w:val="center"/>
          </w:tcPr>
          <w:p w14:paraId="2DE4406D">
            <w:pPr>
              <w:jc w:val="left"/>
            </w:pPr>
            <w:r>
              <w:rPr>
                <w:rFonts w:ascii="Times New Roman" w:hAnsi="Times New Roman" w:eastAsia="Times New Roman"/>
                <w:b w:val="0"/>
                <w:sz w:val="17"/>
              </w:rPr>
              <w:t>log_mtna_lag</w:t>
            </w:r>
          </w:p>
        </w:tc>
        <w:tc>
          <w:tcPr>
            <w:tcW w:w="1384" w:type="dxa"/>
            <w:tcMar>
              <w:top w:w="80" w:type="dxa"/>
              <w:left w:w="70" w:type="dxa"/>
              <w:bottom w:w="80" w:type="dxa"/>
              <w:right w:w="70" w:type="dxa"/>
            </w:tcMar>
            <w:vAlign w:val="center"/>
          </w:tcPr>
          <w:p w14:paraId="734A1DEA">
            <w:pPr>
              <w:jc w:val="center"/>
            </w:pPr>
            <w:r>
              <w:rPr>
                <w:rFonts w:ascii="Times New Roman" w:hAnsi="Times New Roman" w:eastAsia="Times New Roman"/>
                <w:b w:val="0"/>
                <w:sz w:val="17"/>
              </w:rPr>
              <w:t>3.744700</w:t>
            </w:r>
          </w:p>
        </w:tc>
        <w:tc>
          <w:tcPr>
            <w:tcW w:w="1384" w:type="dxa"/>
            <w:tcMar>
              <w:top w:w="80" w:type="dxa"/>
              <w:left w:w="70" w:type="dxa"/>
              <w:bottom w:w="80" w:type="dxa"/>
              <w:right w:w="70" w:type="dxa"/>
            </w:tcMar>
            <w:vAlign w:val="center"/>
          </w:tcPr>
          <w:p w14:paraId="53EC9FC6">
            <w:pPr>
              <w:jc w:val="center"/>
            </w:pPr>
            <w:r>
              <w:rPr>
                <w:rFonts w:ascii="Times New Roman" w:hAnsi="Times New Roman" w:eastAsia="Times New Roman"/>
                <w:b w:val="0"/>
                <w:sz w:val="17"/>
              </w:rPr>
              <w:t>2.829496</w:t>
            </w:r>
          </w:p>
        </w:tc>
        <w:tc>
          <w:tcPr>
            <w:tcW w:w="1384" w:type="dxa"/>
            <w:tcMar>
              <w:top w:w="80" w:type="dxa"/>
              <w:left w:w="70" w:type="dxa"/>
              <w:bottom w:w="80" w:type="dxa"/>
              <w:right w:w="70" w:type="dxa"/>
            </w:tcMar>
            <w:vAlign w:val="center"/>
          </w:tcPr>
          <w:p w14:paraId="277352CC">
            <w:pPr>
              <w:jc w:val="center"/>
            </w:pPr>
            <w:r>
              <w:rPr>
                <w:rFonts w:ascii="Times New Roman" w:hAnsi="Times New Roman" w:eastAsia="Times New Roman"/>
                <w:b w:val="0"/>
                <w:sz w:val="17"/>
              </w:rPr>
              <w:t>-2.302585</w:t>
            </w:r>
          </w:p>
        </w:tc>
        <w:tc>
          <w:tcPr>
            <w:tcW w:w="1384" w:type="dxa"/>
            <w:tcMar>
              <w:top w:w="80" w:type="dxa"/>
              <w:left w:w="70" w:type="dxa"/>
              <w:bottom w:w="80" w:type="dxa"/>
              <w:right w:w="70" w:type="dxa"/>
            </w:tcMar>
            <w:vAlign w:val="center"/>
          </w:tcPr>
          <w:p w14:paraId="27DE6EE0">
            <w:pPr>
              <w:jc w:val="center"/>
            </w:pPr>
            <w:r>
              <w:rPr>
                <w:rFonts w:ascii="Times New Roman" w:hAnsi="Times New Roman" w:eastAsia="Times New Roman"/>
                <w:b w:val="0"/>
                <w:sz w:val="17"/>
              </w:rPr>
              <w:t>11.781222</w:t>
            </w:r>
          </w:p>
        </w:tc>
        <w:tc>
          <w:tcPr>
            <w:tcW w:w="1384" w:type="dxa"/>
            <w:tcMar>
              <w:top w:w="80" w:type="dxa"/>
              <w:left w:w="70" w:type="dxa"/>
              <w:bottom w:w="80" w:type="dxa"/>
              <w:right w:w="70" w:type="dxa"/>
            </w:tcMar>
            <w:vAlign w:val="center"/>
          </w:tcPr>
          <w:p w14:paraId="5FB78B84">
            <w:pPr>
              <w:jc w:val="center"/>
            </w:pPr>
            <w:r>
              <w:rPr>
                <w:rFonts w:ascii="Times New Roman" w:hAnsi="Times New Roman" w:eastAsia="Times New Roman"/>
                <w:b w:val="0"/>
                <w:sz w:val="17"/>
              </w:rPr>
              <w:t>3.808882</w:t>
            </w:r>
          </w:p>
        </w:tc>
      </w:tr>
      <w:tr w14:paraId="6611D7F3">
        <w:trPr>
          <w:jc w:val="center"/>
        </w:trPr>
        <w:tc>
          <w:tcPr>
            <w:tcW w:w="1384" w:type="dxa"/>
            <w:tcMar>
              <w:top w:w="80" w:type="dxa"/>
              <w:left w:w="70" w:type="dxa"/>
              <w:bottom w:w="80" w:type="dxa"/>
              <w:right w:w="70" w:type="dxa"/>
            </w:tcMar>
            <w:vAlign w:val="center"/>
          </w:tcPr>
          <w:p w14:paraId="5EA6F596">
            <w:pPr>
              <w:jc w:val="left"/>
            </w:pPr>
            <w:r>
              <w:rPr>
                <w:rFonts w:ascii="Times New Roman" w:hAnsi="Times New Roman" w:eastAsia="Times New Roman"/>
                <w:b w:val="0"/>
                <w:sz w:val="17"/>
              </w:rPr>
              <w:t>mret_lag</w:t>
            </w:r>
          </w:p>
        </w:tc>
        <w:tc>
          <w:tcPr>
            <w:tcW w:w="1384" w:type="dxa"/>
            <w:tcMar>
              <w:top w:w="80" w:type="dxa"/>
              <w:left w:w="70" w:type="dxa"/>
              <w:bottom w:w="80" w:type="dxa"/>
              <w:right w:w="70" w:type="dxa"/>
            </w:tcMar>
            <w:vAlign w:val="center"/>
          </w:tcPr>
          <w:p w14:paraId="7614BFE2">
            <w:pPr>
              <w:jc w:val="center"/>
            </w:pPr>
            <w:r>
              <w:rPr>
                <w:rFonts w:ascii="Times New Roman" w:hAnsi="Times New Roman" w:eastAsia="Times New Roman"/>
                <w:b w:val="0"/>
                <w:sz w:val="17"/>
              </w:rPr>
              <w:t>0.010386</w:t>
            </w:r>
          </w:p>
        </w:tc>
        <w:tc>
          <w:tcPr>
            <w:tcW w:w="1384" w:type="dxa"/>
            <w:tcMar>
              <w:top w:w="80" w:type="dxa"/>
              <w:left w:w="70" w:type="dxa"/>
              <w:bottom w:w="80" w:type="dxa"/>
              <w:right w:w="70" w:type="dxa"/>
            </w:tcMar>
            <w:vAlign w:val="center"/>
          </w:tcPr>
          <w:p w14:paraId="41B9A503">
            <w:pPr>
              <w:jc w:val="center"/>
            </w:pPr>
            <w:r>
              <w:rPr>
                <w:rFonts w:ascii="Times New Roman" w:hAnsi="Times New Roman" w:eastAsia="Times New Roman"/>
                <w:b w:val="0"/>
                <w:sz w:val="17"/>
              </w:rPr>
              <w:t>0.065432</w:t>
            </w:r>
          </w:p>
        </w:tc>
        <w:tc>
          <w:tcPr>
            <w:tcW w:w="1384" w:type="dxa"/>
            <w:tcMar>
              <w:top w:w="80" w:type="dxa"/>
              <w:left w:w="70" w:type="dxa"/>
              <w:bottom w:w="80" w:type="dxa"/>
              <w:right w:w="70" w:type="dxa"/>
            </w:tcMar>
            <w:vAlign w:val="center"/>
          </w:tcPr>
          <w:p w14:paraId="22E2C4BC">
            <w:pPr>
              <w:jc w:val="center"/>
            </w:pPr>
            <w:r>
              <w:rPr>
                <w:rFonts w:ascii="Times New Roman" w:hAnsi="Times New Roman" w:eastAsia="Times New Roman"/>
                <w:b w:val="0"/>
                <w:sz w:val="17"/>
              </w:rPr>
              <w:t>-0.742038</w:t>
            </w:r>
          </w:p>
        </w:tc>
        <w:tc>
          <w:tcPr>
            <w:tcW w:w="1384" w:type="dxa"/>
            <w:tcMar>
              <w:top w:w="80" w:type="dxa"/>
              <w:left w:w="70" w:type="dxa"/>
              <w:bottom w:w="80" w:type="dxa"/>
              <w:right w:w="70" w:type="dxa"/>
            </w:tcMar>
            <w:vAlign w:val="center"/>
          </w:tcPr>
          <w:p w14:paraId="05E015FE">
            <w:pPr>
              <w:jc w:val="center"/>
            </w:pPr>
            <w:r>
              <w:rPr>
                <w:rFonts w:ascii="Times New Roman" w:hAnsi="Times New Roman" w:eastAsia="Times New Roman"/>
                <w:b w:val="0"/>
                <w:sz w:val="17"/>
              </w:rPr>
              <w:t>0.684039</w:t>
            </w:r>
          </w:p>
        </w:tc>
        <w:tc>
          <w:tcPr>
            <w:tcW w:w="1384" w:type="dxa"/>
            <w:tcMar>
              <w:top w:w="80" w:type="dxa"/>
              <w:left w:w="70" w:type="dxa"/>
              <w:bottom w:w="80" w:type="dxa"/>
              <w:right w:w="70" w:type="dxa"/>
            </w:tcMar>
            <w:vAlign w:val="center"/>
          </w:tcPr>
          <w:p w14:paraId="7EB51EC1">
            <w:pPr>
              <w:jc w:val="center"/>
            </w:pPr>
            <w:r>
              <w:rPr>
                <w:rFonts w:ascii="Times New Roman" w:hAnsi="Times New Roman" w:eastAsia="Times New Roman"/>
                <w:b w:val="0"/>
                <w:sz w:val="17"/>
              </w:rPr>
              <w:t>0.013057</w:t>
            </w:r>
          </w:p>
        </w:tc>
      </w:tr>
      <w:tr w14:paraId="2DB20CBA">
        <w:trPr>
          <w:jc w:val="center"/>
        </w:trPr>
        <w:tc>
          <w:tcPr>
            <w:tcW w:w="1384" w:type="dxa"/>
            <w:tcMar>
              <w:top w:w="80" w:type="dxa"/>
              <w:left w:w="70" w:type="dxa"/>
              <w:bottom w:w="80" w:type="dxa"/>
              <w:right w:w="70" w:type="dxa"/>
            </w:tcMar>
            <w:vAlign w:val="center"/>
          </w:tcPr>
          <w:p w14:paraId="79B8940D">
            <w:pPr>
              <w:jc w:val="left"/>
            </w:pPr>
            <w:r>
              <w:rPr>
                <w:rFonts w:ascii="Times New Roman" w:hAnsi="Times New Roman" w:eastAsia="Times New Roman"/>
                <w:b w:val="0"/>
                <w:sz w:val="17"/>
              </w:rPr>
              <w:t>flow_lag</w:t>
            </w:r>
          </w:p>
        </w:tc>
        <w:tc>
          <w:tcPr>
            <w:tcW w:w="1384" w:type="dxa"/>
            <w:tcMar>
              <w:top w:w="80" w:type="dxa"/>
              <w:left w:w="70" w:type="dxa"/>
              <w:bottom w:w="80" w:type="dxa"/>
              <w:right w:w="70" w:type="dxa"/>
            </w:tcMar>
            <w:vAlign w:val="center"/>
          </w:tcPr>
          <w:p w14:paraId="5D5E1A94">
            <w:pPr>
              <w:jc w:val="center"/>
            </w:pPr>
            <w:r>
              <w:rPr>
                <w:rFonts w:ascii="Times New Roman" w:hAnsi="Times New Roman" w:eastAsia="Times New Roman"/>
                <w:b w:val="0"/>
                <w:sz w:val="17"/>
              </w:rPr>
              <w:t>-0.002440</w:t>
            </w:r>
          </w:p>
        </w:tc>
        <w:tc>
          <w:tcPr>
            <w:tcW w:w="1384" w:type="dxa"/>
            <w:tcMar>
              <w:top w:w="80" w:type="dxa"/>
              <w:left w:w="70" w:type="dxa"/>
              <w:bottom w:w="80" w:type="dxa"/>
              <w:right w:w="70" w:type="dxa"/>
            </w:tcMar>
            <w:vAlign w:val="center"/>
          </w:tcPr>
          <w:p w14:paraId="5E7C4536">
            <w:pPr>
              <w:jc w:val="center"/>
            </w:pPr>
            <w:r>
              <w:rPr>
                <w:rFonts w:ascii="Times New Roman" w:hAnsi="Times New Roman" w:eastAsia="Times New Roman"/>
                <w:b w:val="0"/>
                <w:sz w:val="17"/>
              </w:rPr>
              <w:t>0.107940</w:t>
            </w:r>
          </w:p>
        </w:tc>
        <w:tc>
          <w:tcPr>
            <w:tcW w:w="1384" w:type="dxa"/>
            <w:tcMar>
              <w:top w:w="80" w:type="dxa"/>
              <w:left w:w="70" w:type="dxa"/>
              <w:bottom w:w="80" w:type="dxa"/>
              <w:right w:w="70" w:type="dxa"/>
            </w:tcMar>
            <w:vAlign w:val="center"/>
          </w:tcPr>
          <w:p w14:paraId="453F61F7">
            <w:pPr>
              <w:jc w:val="center"/>
            </w:pPr>
            <w:r>
              <w:rPr>
                <w:rFonts w:ascii="Times New Roman" w:hAnsi="Times New Roman" w:eastAsia="Times New Roman"/>
                <w:b w:val="0"/>
                <w:sz w:val="17"/>
              </w:rPr>
              <w:t>-0.391568</w:t>
            </w:r>
          </w:p>
        </w:tc>
        <w:tc>
          <w:tcPr>
            <w:tcW w:w="1384" w:type="dxa"/>
            <w:tcMar>
              <w:top w:w="80" w:type="dxa"/>
              <w:left w:w="70" w:type="dxa"/>
              <w:bottom w:w="80" w:type="dxa"/>
              <w:right w:w="70" w:type="dxa"/>
            </w:tcMar>
            <w:vAlign w:val="center"/>
          </w:tcPr>
          <w:p w14:paraId="17403E73">
            <w:pPr>
              <w:jc w:val="center"/>
            </w:pPr>
            <w:r>
              <w:rPr>
                <w:rFonts w:ascii="Times New Roman" w:hAnsi="Times New Roman" w:eastAsia="Times New Roman"/>
                <w:b w:val="0"/>
                <w:sz w:val="17"/>
              </w:rPr>
              <w:t>0.654824</w:t>
            </w:r>
          </w:p>
        </w:tc>
        <w:tc>
          <w:tcPr>
            <w:tcW w:w="1384" w:type="dxa"/>
            <w:tcMar>
              <w:top w:w="80" w:type="dxa"/>
              <w:left w:w="70" w:type="dxa"/>
              <w:bottom w:w="80" w:type="dxa"/>
              <w:right w:w="70" w:type="dxa"/>
            </w:tcMar>
            <w:vAlign w:val="center"/>
          </w:tcPr>
          <w:p w14:paraId="28105103">
            <w:pPr>
              <w:jc w:val="center"/>
            </w:pPr>
            <w:r>
              <w:rPr>
                <w:rFonts w:ascii="Times New Roman" w:hAnsi="Times New Roman" w:eastAsia="Times New Roman"/>
                <w:b w:val="0"/>
                <w:sz w:val="17"/>
              </w:rPr>
              <w:t>-0.006696</w:t>
            </w:r>
          </w:p>
        </w:tc>
      </w:tr>
      <w:tr w14:paraId="6E1B357C">
        <w:trPr>
          <w:jc w:val="center"/>
        </w:trPr>
        <w:tc>
          <w:tcPr>
            <w:tcW w:w="1384" w:type="dxa"/>
            <w:tcMar>
              <w:top w:w="80" w:type="dxa"/>
              <w:left w:w="70" w:type="dxa"/>
              <w:bottom w:w="80" w:type="dxa"/>
              <w:right w:w="70" w:type="dxa"/>
            </w:tcMar>
            <w:vAlign w:val="center"/>
          </w:tcPr>
          <w:p w14:paraId="728FCED9">
            <w:pPr>
              <w:jc w:val="left"/>
            </w:pPr>
            <w:r>
              <w:rPr>
                <w:rFonts w:ascii="Times New Roman" w:hAnsi="Times New Roman" w:eastAsia="Times New Roman"/>
                <w:b w:val="0"/>
                <w:sz w:val="17"/>
              </w:rPr>
              <w:t>alpha</w:t>
            </w:r>
          </w:p>
        </w:tc>
        <w:tc>
          <w:tcPr>
            <w:tcW w:w="1384" w:type="dxa"/>
            <w:tcMar>
              <w:top w:w="80" w:type="dxa"/>
              <w:left w:w="70" w:type="dxa"/>
              <w:bottom w:w="80" w:type="dxa"/>
              <w:right w:w="70" w:type="dxa"/>
            </w:tcMar>
            <w:vAlign w:val="center"/>
          </w:tcPr>
          <w:p w14:paraId="54BD9D87">
            <w:pPr>
              <w:jc w:val="center"/>
            </w:pPr>
            <w:r>
              <w:rPr>
                <w:rFonts w:ascii="Times New Roman" w:hAnsi="Times New Roman" w:eastAsia="Times New Roman"/>
                <w:b w:val="0"/>
                <w:sz w:val="17"/>
              </w:rPr>
              <w:t>-0.003180</w:t>
            </w:r>
          </w:p>
        </w:tc>
        <w:tc>
          <w:tcPr>
            <w:tcW w:w="1384" w:type="dxa"/>
            <w:tcMar>
              <w:top w:w="80" w:type="dxa"/>
              <w:left w:w="70" w:type="dxa"/>
              <w:bottom w:w="80" w:type="dxa"/>
              <w:right w:w="70" w:type="dxa"/>
            </w:tcMar>
            <w:vAlign w:val="center"/>
          </w:tcPr>
          <w:p w14:paraId="39D924CB">
            <w:pPr>
              <w:jc w:val="center"/>
            </w:pPr>
            <w:r>
              <w:rPr>
                <w:rFonts w:ascii="Times New Roman" w:hAnsi="Times New Roman" w:eastAsia="Times New Roman"/>
                <w:b w:val="0"/>
                <w:sz w:val="17"/>
              </w:rPr>
              <w:t>0.004492</w:t>
            </w:r>
          </w:p>
        </w:tc>
        <w:tc>
          <w:tcPr>
            <w:tcW w:w="1384" w:type="dxa"/>
            <w:tcMar>
              <w:top w:w="80" w:type="dxa"/>
              <w:left w:w="70" w:type="dxa"/>
              <w:bottom w:w="80" w:type="dxa"/>
              <w:right w:w="70" w:type="dxa"/>
            </w:tcMar>
            <w:vAlign w:val="center"/>
          </w:tcPr>
          <w:p w14:paraId="6096A148">
            <w:pPr>
              <w:jc w:val="center"/>
            </w:pPr>
            <w:r>
              <w:rPr>
                <w:rFonts w:ascii="Times New Roman" w:hAnsi="Times New Roman" w:eastAsia="Times New Roman"/>
                <w:b w:val="0"/>
                <w:sz w:val="17"/>
              </w:rPr>
              <w:t>-0.045557</w:t>
            </w:r>
          </w:p>
        </w:tc>
        <w:tc>
          <w:tcPr>
            <w:tcW w:w="1384" w:type="dxa"/>
            <w:tcMar>
              <w:top w:w="80" w:type="dxa"/>
              <w:left w:w="70" w:type="dxa"/>
              <w:bottom w:w="80" w:type="dxa"/>
              <w:right w:w="70" w:type="dxa"/>
            </w:tcMar>
            <w:vAlign w:val="center"/>
          </w:tcPr>
          <w:p w14:paraId="00FE6E69">
            <w:pPr>
              <w:jc w:val="center"/>
            </w:pPr>
            <w:r>
              <w:rPr>
                <w:rFonts w:ascii="Times New Roman" w:hAnsi="Times New Roman" w:eastAsia="Times New Roman"/>
                <w:b w:val="0"/>
                <w:sz w:val="17"/>
              </w:rPr>
              <w:t>0.017952</w:t>
            </w:r>
          </w:p>
        </w:tc>
        <w:tc>
          <w:tcPr>
            <w:tcW w:w="1384" w:type="dxa"/>
            <w:tcMar>
              <w:top w:w="80" w:type="dxa"/>
              <w:left w:w="70" w:type="dxa"/>
              <w:bottom w:w="80" w:type="dxa"/>
              <w:right w:w="70" w:type="dxa"/>
            </w:tcMar>
            <w:vAlign w:val="center"/>
          </w:tcPr>
          <w:p w14:paraId="599B38AF">
            <w:pPr>
              <w:jc w:val="center"/>
            </w:pPr>
            <w:r>
              <w:rPr>
                <w:rFonts w:ascii="Times New Roman" w:hAnsi="Times New Roman" w:eastAsia="Times New Roman"/>
                <w:b w:val="0"/>
                <w:sz w:val="17"/>
              </w:rPr>
              <w:t>-0.002811</w:t>
            </w:r>
          </w:p>
        </w:tc>
      </w:tr>
      <w:tr w14:paraId="6E5BCE09">
        <w:trPr>
          <w:jc w:val="center"/>
        </w:trPr>
        <w:tc>
          <w:tcPr>
            <w:tcW w:w="1384" w:type="dxa"/>
            <w:tcMar>
              <w:top w:w="80" w:type="dxa"/>
              <w:left w:w="70" w:type="dxa"/>
              <w:bottom w:w="80" w:type="dxa"/>
              <w:right w:w="70" w:type="dxa"/>
            </w:tcMar>
            <w:vAlign w:val="center"/>
          </w:tcPr>
          <w:p w14:paraId="5A959855">
            <w:pPr>
              <w:jc w:val="left"/>
            </w:pPr>
            <w:r>
              <w:rPr>
                <w:rFonts w:ascii="Times New Roman" w:hAnsi="Times New Roman" w:eastAsia="Times New Roman"/>
                <w:b w:val="0"/>
                <w:sz w:val="17"/>
              </w:rPr>
              <w:t>AIShare</w:t>
            </w:r>
          </w:p>
        </w:tc>
        <w:tc>
          <w:tcPr>
            <w:tcW w:w="1384" w:type="dxa"/>
            <w:tcMar>
              <w:top w:w="80" w:type="dxa"/>
              <w:left w:w="70" w:type="dxa"/>
              <w:bottom w:w="80" w:type="dxa"/>
              <w:right w:w="70" w:type="dxa"/>
            </w:tcMar>
            <w:vAlign w:val="center"/>
          </w:tcPr>
          <w:p w14:paraId="654800C1">
            <w:pPr>
              <w:jc w:val="center"/>
            </w:pPr>
            <w:r>
              <w:rPr>
                <w:rFonts w:ascii="Times New Roman" w:hAnsi="Times New Roman" w:eastAsia="Times New Roman"/>
                <w:b w:val="0"/>
                <w:sz w:val="17"/>
              </w:rPr>
              <w:t>21.613358</w:t>
            </w:r>
          </w:p>
        </w:tc>
        <w:tc>
          <w:tcPr>
            <w:tcW w:w="1384" w:type="dxa"/>
            <w:tcMar>
              <w:top w:w="80" w:type="dxa"/>
              <w:left w:w="70" w:type="dxa"/>
              <w:bottom w:w="80" w:type="dxa"/>
              <w:right w:w="70" w:type="dxa"/>
            </w:tcMar>
            <w:vAlign w:val="center"/>
          </w:tcPr>
          <w:p w14:paraId="1B118241">
            <w:pPr>
              <w:jc w:val="center"/>
            </w:pPr>
            <w:r>
              <w:rPr>
                <w:rFonts w:ascii="Times New Roman" w:hAnsi="Times New Roman" w:eastAsia="Times New Roman"/>
                <w:b w:val="0"/>
                <w:sz w:val="17"/>
              </w:rPr>
              <w:t>34.211737</w:t>
            </w:r>
          </w:p>
        </w:tc>
        <w:tc>
          <w:tcPr>
            <w:tcW w:w="1384" w:type="dxa"/>
            <w:tcMar>
              <w:top w:w="80" w:type="dxa"/>
              <w:left w:w="70" w:type="dxa"/>
              <w:bottom w:w="80" w:type="dxa"/>
              <w:right w:w="70" w:type="dxa"/>
            </w:tcMar>
            <w:vAlign w:val="center"/>
          </w:tcPr>
          <w:p w14:paraId="47C9A878">
            <w:pPr>
              <w:jc w:val="center"/>
            </w:pPr>
            <w:r>
              <w:rPr>
                <w:rFonts w:ascii="Times New Roman" w:hAnsi="Times New Roman" w:eastAsia="Times New Roman"/>
                <w:b w:val="0"/>
                <w:sz w:val="17"/>
              </w:rPr>
              <w:t>-9.629999</w:t>
            </w:r>
          </w:p>
        </w:tc>
        <w:tc>
          <w:tcPr>
            <w:tcW w:w="1384" w:type="dxa"/>
            <w:tcMar>
              <w:top w:w="80" w:type="dxa"/>
              <w:left w:w="70" w:type="dxa"/>
              <w:bottom w:w="80" w:type="dxa"/>
              <w:right w:w="70" w:type="dxa"/>
            </w:tcMar>
            <w:vAlign w:val="center"/>
          </w:tcPr>
          <w:p w14:paraId="2CBF5023">
            <w:pPr>
              <w:jc w:val="center"/>
            </w:pPr>
            <w:r>
              <w:rPr>
                <w:rFonts w:ascii="Times New Roman" w:hAnsi="Times New Roman" w:eastAsia="Times New Roman"/>
                <w:b w:val="0"/>
                <w:sz w:val="17"/>
              </w:rPr>
              <w:t>179.949946</w:t>
            </w:r>
          </w:p>
        </w:tc>
        <w:tc>
          <w:tcPr>
            <w:tcW w:w="1384" w:type="dxa"/>
            <w:tcMar>
              <w:top w:w="80" w:type="dxa"/>
              <w:left w:w="70" w:type="dxa"/>
              <w:bottom w:w="80" w:type="dxa"/>
              <w:right w:w="70" w:type="dxa"/>
            </w:tcMar>
            <w:vAlign w:val="center"/>
          </w:tcPr>
          <w:p w14:paraId="22DAD9B6">
            <w:pPr>
              <w:jc w:val="center"/>
            </w:pPr>
            <w:r>
              <w:rPr>
                <w:rFonts w:ascii="Times New Roman" w:hAnsi="Times New Roman" w:eastAsia="Times New Roman"/>
                <w:b w:val="0"/>
                <w:sz w:val="17"/>
              </w:rPr>
              <w:t>3.599999</w:t>
            </w:r>
          </w:p>
        </w:tc>
      </w:tr>
    </w:tbl>
    <w:p w14:paraId="2709656C">
      <w:pPr>
        <w:spacing w:before="40" w:after="160"/>
      </w:pPr>
      <w:r>
        <w:rPr>
          <w:rFonts w:ascii="Times New Roman" w:hAnsi="Times New Roman" w:eastAsia="Times New Roman"/>
          <w:i/>
          <w:sz w:val="19"/>
        </w:rPr>
        <w:t>Notes: Summary statistics are based on the processed empirical panels used in the saved notebook outputs. AIShare is reported from the H3 fund-quarter panel as percent_tna.</w:t>
      </w:r>
    </w:p>
    <w:p w14:paraId="41D8A9B9">
      <w:pPr>
        <w:spacing w:after="120" w:line="276" w:lineRule="auto"/>
      </w:pPr>
      <w:r>
        <w:rPr>
          <w:rFonts w:ascii="Times New Roman" w:hAnsi="Times New Roman" w:eastAsia="Times New Roman"/>
          <w:sz w:val="24"/>
        </w:rPr>
        <w:t xml:space="preserve">The standardized AI exposure variable </w:t>
      </w:r>
      <w:r>
        <w:rPr>
          <w:rFonts w:ascii="Times New Roman" w:hAnsi="Times New Roman" w:eastAsia="Times New Roman"/>
          <w:b/>
          <w:sz w:val="24"/>
        </w:rPr>
        <w:t>AIExposureZ</w:t>
      </w:r>
      <w:r>
        <w:rPr>
          <w:rFonts w:ascii="Times New Roman" w:hAnsi="Times New Roman" w:eastAsia="Times New Roman"/>
          <w:sz w:val="24"/>
        </w:rPr>
        <w:t xml:space="preserve"> has substantial cross-sectional dispersion, ranging from -2.0830 to 1.6674 in the monthly panel. This variation is important for identification because treatment intensity differs across funds before the ChatGPT shock rather than being assigned uniformly after the event. The prior-</w:t>
      </w:r>
      <w:r>
        <w:rPr>
          <w:rFonts w:ascii="Times New Roman" w:hAnsi="Times New Roman" w:eastAsia="Times New Roman"/>
          <w:b/>
          <w:sz w:val="24"/>
        </w:rPr>
        <w:t>alpha</w:t>
      </w:r>
      <w:r>
        <w:rPr>
          <w:rFonts w:ascii="Times New Roman" w:hAnsi="Times New Roman" w:eastAsia="Times New Roman"/>
          <w:sz w:val="24"/>
        </w:rPr>
        <w:t xml:space="preserve"> variable is negative at the median, consistent with the difficulty of generating positive risk-adjusted performance after controlling for common equity factors.</w:t>
      </w:r>
    </w:p>
    <w:p w14:paraId="426BC653">
      <w:pPr>
        <w:spacing w:after="120" w:line="276" w:lineRule="auto"/>
      </w:pPr>
      <w:r>
        <w:rPr>
          <w:rFonts w:ascii="Times New Roman" w:hAnsi="Times New Roman" w:eastAsia="Times New Roman"/>
          <w:b w:val="0"/>
          <w:i w:val="0"/>
          <w:sz w:val="24"/>
        </w:rPr>
        <w:t>Table 1B reports the pairwise correlation matrix for the main flow-regression variables. The correlations are modest in magnitude, which reduces concerns that the baseline results are mechanically driven by simple bivariate relationships among fund size, past returns, lagged flows, and AI exposure.</w:t>
      </w:r>
    </w:p>
    <w:p>
      <w:pPr>
        <w:jc w:val="center"/>
      </w:pPr>
      <w:r>
        <w:rPr>
          <w:rFonts w:ascii="Times New Roman" w:hAnsi="Times New Roman" w:eastAsia="Times New Roman"/>
          <w:b/>
          <w:i w:val="0"/>
          <w:sz w:val="22"/>
        </w:rPr>
        <w:t>Table 1B. Correlation Matrix</w:t>
      </w:r>
    </w:p>
    <w:tbl>
      <w:tblPr>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384"/>
        <w:gridCol w:w="1384"/>
        <w:gridCol w:w="1384"/>
        <w:gridCol w:w="1384"/>
        <w:gridCol w:w="1384"/>
        <w:gridCol w:w="1384"/>
      </w:tblGrid>
      <w:tr>
        <w:tc>
          <w:tcPr>
            <w:tcW w:type="dxa" w:w="1384"/>
            <w:shd w:fill="D9EAF7"/>
            <w:tcMar>
              <w:top w:w="80" w:type="dxa"/>
              <w:start w:w="70" w:type="dxa"/>
              <w:bottom w:w="80" w:type="dxa"/>
              <w:end w:w="70" w:type="dxa"/>
            </w:tcMar>
            <w:vAlign w:val="center"/>
          </w:tcPr>
          <w:p>
            <w:pPr>
              <w:jc w:val="center"/>
            </w:pPr>
            <w:r/>
            <w:r>
              <w:rPr>
                <w:rFonts w:ascii="Times New Roman" w:hAnsi="Times New Roman" w:eastAsia="Times New Roman"/>
                <w:b/>
                <w:i w:val="0"/>
                <w:sz w:val="16"/>
              </w:rPr>
              <w:t>Variable</w:t>
            </w:r>
          </w:p>
        </w:tc>
        <w:tc>
          <w:tcPr>
            <w:tcW w:type="dxa" w:w="1384"/>
            <w:shd w:fill="D9EAF7"/>
            <w:tcMar>
              <w:top w:w="80" w:type="dxa"/>
              <w:start w:w="70" w:type="dxa"/>
              <w:bottom w:w="80" w:type="dxa"/>
              <w:end w:w="70" w:type="dxa"/>
            </w:tcMar>
            <w:vAlign w:val="center"/>
          </w:tcPr>
          <w:p>
            <w:pPr>
              <w:jc w:val="center"/>
            </w:pPr>
            <w:r/>
            <w:r>
              <w:rPr>
                <w:rFonts w:ascii="Times New Roman" w:hAnsi="Times New Roman" w:eastAsia="Times New Roman"/>
                <w:b/>
                <w:i w:val="0"/>
                <w:sz w:val="16"/>
              </w:rPr>
              <w:t>flow_w</w:t>
            </w:r>
          </w:p>
        </w:tc>
        <w:tc>
          <w:tcPr>
            <w:tcW w:type="dxa" w:w="1384"/>
            <w:shd w:fill="D9EAF7"/>
            <w:tcMar>
              <w:top w:w="80" w:type="dxa"/>
              <w:start w:w="70" w:type="dxa"/>
              <w:bottom w:w="80" w:type="dxa"/>
              <w:end w:w="70" w:type="dxa"/>
            </w:tcMar>
            <w:vAlign w:val="center"/>
          </w:tcPr>
          <w:p>
            <w:pPr>
              <w:jc w:val="center"/>
            </w:pPr>
            <w:r/>
            <w:r>
              <w:rPr>
                <w:rFonts w:ascii="Times New Roman" w:hAnsi="Times New Roman" w:eastAsia="Times New Roman"/>
                <w:b/>
                <w:i w:val="0"/>
                <w:sz w:val="16"/>
              </w:rPr>
              <w:t>AIExposureZ</w:t>
            </w:r>
          </w:p>
        </w:tc>
        <w:tc>
          <w:tcPr>
            <w:tcW w:type="dxa" w:w="1384"/>
            <w:shd w:fill="D9EAF7"/>
            <w:tcMar>
              <w:top w:w="80" w:type="dxa"/>
              <w:start w:w="70" w:type="dxa"/>
              <w:bottom w:w="80" w:type="dxa"/>
              <w:end w:w="70" w:type="dxa"/>
            </w:tcMar>
            <w:vAlign w:val="center"/>
          </w:tcPr>
          <w:p>
            <w:pPr>
              <w:jc w:val="center"/>
            </w:pPr>
            <w:r/>
            <w:r>
              <w:rPr>
                <w:rFonts w:ascii="Times New Roman" w:hAnsi="Times New Roman" w:eastAsia="Times New Roman"/>
                <w:b/>
                <w:i w:val="0"/>
                <w:sz w:val="16"/>
              </w:rPr>
              <w:t>log_mtna_lag</w:t>
            </w:r>
          </w:p>
        </w:tc>
        <w:tc>
          <w:tcPr>
            <w:tcW w:type="dxa" w:w="1384"/>
            <w:shd w:fill="D9EAF7"/>
            <w:tcMar>
              <w:top w:w="80" w:type="dxa"/>
              <w:start w:w="70" w:type="dxa"/>
              <w:bottom w:w="80" w:type="dxa"/>
              <w:end w:w="70" w:type="dxa"/>
            </w:tcMar>
            <w:vAlign w:val="center"/>
          </w:tcPr>
          <w:p>
            <w:pPr>
              <w:jc w:val="center"/>
            </w:pPr>
            <w:r/>
            <w:r>
              <w:rPr>
                <w:rFonts w:ascii="Times New Roman" w:hAnsi="Times New Roman" w:eastAsia="Times New Roman"/>
                <w:b/>
                <w:i w:val="0"/>
                <w:sz w:val="16"/>
              </w:rPr>
              <w:t>mret_lag</w:t>
            </w:r>
          </w:p>
        </w:tc>
        <w:tc>
          <w:tcPr>
            <w:tcW w:type="dxa" w:w="1384"/>
            <w:shd w:fill="D9EAF7"/>
            <w:tcMar>
              <w:top w:w="80" w:type="dxa"/>
              <w:start w:w="70" w:type="dxa"/>
              <w:bottom w:w="80" w:type="dxa"/>
              <w:end w:w="70" w:type="dxa"/>
            </w:tcMar>
            <w:vAlign w:val="center"/>
          </w:tcPr>
          <w:p>
            <w:pPr>
              <w:jc w:val="center"/>
            </w:pPr>
            <w:r/>
            <w:r>
              <w:rPr>
                <w:rFonts w:ascii="Times New Roman" w:hAnsi="Times New Roman" w:eastAsia="Times New Roman"/>
                <w:b/>
                <w:i w:val="0"/>
                <w:sz w:val="16"/>
              </w:rPr>
              <w:t>flow_lag</w:t>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i w:val="0"/>
                <w:sz w:val="16"/>
              </w:rPr>
              <w:t>flow_w</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t>1.000</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i w:val="0"/>
                <w:sz w:val="16"/>
              </w:rPr>
              <w:t>AIExposureZ</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t>0.011</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t>1.000</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i w:val="0"/>
                <w:sz w:val="16"/>
              </w:rPr>
              <w:t>log_mtna_lag</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t>-0.035</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t>0.067</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t>1.000</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i w:val="0"/>
                <w:sz w:val="16"/>
              </w:rPr>
              <w:t>mret_lag</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t>0.017</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t>0.041</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t>0.022</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t>1.000</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i w:val="0"/>
                <w:sz w:val="16"/>
              </w:rPr>
              <w:t>flow_lag</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t>-0.079</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t>0.010</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t>0.020</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t>0.065</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t>1.000</w:t>
            </w:r>
          </w:p>
        </w:tc>
      </w:tr>
    </w:tbl>
    <w:p>
      <w:pPr>
        <w:spacing w:after="160"/>
      </w:pPr>
      <w:r>
        <w:rPr>
          <w:rFonts w:ascii="Times New Roman" w:hAnsi="Times New Roman" w:eastAsia="Times New Roman"/>
          <w:b w:val="0"/>
          <w:i/>
          <w:sz w:val="19"/>
        </w:rPr>
        <w:t>Notes: The table reports pairwise Pearson correlations using the H1/H2 monthly panel. Only the lower triangle is shown.</w:t>
      </w:r>
    </w:p>
    <w:p w14:paraId="06761D29">
      <w:pPr>
        <w:spacing w:before="160" w:after="80"/>
        <w:jc w:val="center"/>
      </w:pPr>
      <w:r>
        <w:rPr>
          <w:rFonts w:ascii="Times New Roman" w:hAnsi="Times New Roman" w:eastAsia="Times New Roman"/>
          <w:b/>
          <w:sz w:val="22"/>
        </w:rPr>
        <w:t>Figure 1. Distribution of Pre-Shock AI Exposure</w:t>
      </w:r>
    </w:p>
    <w:p w14:paraId="67C39E6E">
      <w:pPr>
        <w:jc w:val="center"/>
      </w:pPr>
      <w:r>
        <w:drawing>
          <wp:inline distT="0" distB="0" distL="114300" distR="114300">
            <wp:extent cx="5120640" cy="2987040"/>
            <wp:effectExtent l="0" t="0" r="1016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120640" cy="2987040"/>
                    </a:xfrm>
                    <a:prstGeom prst="rect">
                      <a:avLst/>
                    </a:prstGeom>
                  </pic:spPr>
                </pic:pic>
              </a:graphicData>
            </a:graphic>
          </wp:inline>
        </w:drawing>
      </w:r>
    </w:p>
    <w:p w14:paraId="4A379FFA">
      <w:pPr>
        <w:spacing w:before="40" w:after="160"/>
      </w:pPr>
      <w:r>
        <w:rPr>
          <w:rFonts w:ascii="Times New Roman" w:hAnsi="Times New Roman" w:eastAsia="Times New Roman"/>
          <w:i/>
          <w:sz w:val="19"/>
        </w:rPr>
        <w:t>Source: author’s calculations from the pre-shock AI exposure sample.</w:t>
      </w:r>
    </w:p>
    <w:p w14:paraId="38E3D48C">
      <w:pPr>
        <w:spacing w:after="120" w:line="276" w:lineRule="auto"/>
      </w:pPr>
      <w:r>
        <w:rPr>
          <w:rFonts w:ascii="Times New Roman" w:hAnsi="Times New Roman" w:eastAsia="Times New Roman"/>
          <w:sz w:val="24"/>
        </w:rPr>
        <w:t>Figure 1 plots the distribution of pre-shock AI exposure. The distribution is not concentrated at a single point; instead, it displays substantial cross-sectional heterogeneity across funds. The mean pre-shock exposure is 50.5939, while the median is 58.5125, indicating that lower-exposure funds pull the average below the median. This dispersion provides the cross-sectional treatment variation used in the Difference-in-Differences analysis.</w:t>
      </w:r>
    </w:p>
    <w:p w14:paraId="50C91A43">
      <w:pPr>
        <w:spacing w:before="160" w:after="120"/>
      </w:pPr>
      <w:r>
        <w:rPr>
          <w:rFonts w:ascii="Times New Roman" w:hAnsi="Times New Roman" w:eastAsia="Times New Roman"/>
          <w:b/>
          <w:sz w:val="28"/>
        </w:rPr>
        <w:t>4.2 Baseline Difference-in-Differences Results</w:t>
      </w:r>
    </w:p>
    <w:p w14:paraId="03AD1C0F">
      <w:pPr>
        <w:spacing w:after="120" w:line="276" w:lineRule="auto"/>
      </w:pPr>
      <w:r>
        <w:rPr>
          <w:rFonts w:ascii="Times New Roman" w:hAnsi="Times New Roman" w:eastAsia="Times New Roman"/>
          <w:sz w:val="24"/>
        </w:rPr>
        <w:t xml:space="preserve">Table 2 reports the baseline Difference-in-Differences estimates. Statistical significance in this chapter is assessed using the reported </w:t>
      </w:r>
      <w:r>
        <w:rPr>
          <w:rFonts w:ascii="Times New Roman" w:hAnsi="Times New Roman" w:eastAsia="Times New Roman"/>
          <w:b/>
          <w:sz w:val="24"/>
        </w:rPr>
        <w:t>P-value</w:t>
      </w:r>
      <w:r>
        <w:rPr>
          <w:rFonts w:ascii="Times New Roman" w:hAnsi="Times New Roman" w:eastAsia="Times New Roman"/>
          <w:sz w:val="24"/>
        </w:rPr>
        <w:t>; significance stars are included only as a compact visual convention. The estimating equation relates fund flows to the interaction between pre-shock AI exposure and the post-ChatGPT period:</w:t>
      </w:r>
    </w:p>
    <w:p w14:paraId="6AAEFD9C">
      <w:pPr>
        <w:spacing w:before="80" w:after="1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sz w:val="24"/>
        </w:rPr>
        <w:t xml:space="preserve"> = </w:t>
      </w:r>
      <w:r>
        <w:rPr>
          <w:rFonts w:ascii="Times New Roman" w:hAnsi="Times New Roman" w:eastAsia="Times New Roman"/>
          <w:i/>
          <w:sz w:val="24"/>
        </w:rPr>
        <w:t>α + β(AIExposureZ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sz w:val="24"/>
        </w:rPr>
        <w:t xml:space="preserve">    （22）</w:t>
      </w:r>
    </w:p>
    <w:p w14:paraId="213B701B">
      <w:pPr>
        <w:spacing w:before="160" w:after="80"/>
        <w:jc w:val="center"/>
      </w:pPr>
      <w:r>
        <w:rPr>
          <w:rFonts w:ascii="Times New Roman" w:hAnsi="Times New Roman" w:eastAsia="Times New Roman"/>
          <w:b/>
          <w:sz w:val="22"/>
        </w:rPr>
        <w:t>Table 2. Baseline DiD Regression Results</w:t>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102D8CDE">
        <w:trPr>
          <w:jc w:val="center"/>
        </w:trPr>
        <w:tc>
          <w:tcPr>
            <w:tcW w:w="1384" w:type="dxa"/>
            <w:shd w:val="clear" w:color="auto" w:fill="D9EAF7"/>
            <w:tcMar>
              <w:top w:w="80" w:type="dxa"/>
              <w:left w:w="70" w:type="dxa"/>
              <w:bottom w:w="80" w:type="dxa"/>
              <w:right w:w="70" w:type="dxa"/>
            </w:tcMar>
            <w:vAlign w:val="center"/>
          </w:tcPr>
          <w:p w14:paraId="26325127">
            <w:pPr>
              <w:jc w:val="center"/>
            </w:pPr>
            <w:r>
              <w:rPr>
                <w:rFonts w:ascii="Times New Roman" w:hAnsi="Times New Roman" w:eastAsia="Times New Roman"/>
                <w:b/>
                <w:sz w:val="16"/>
              </w:rPr>
              <w:t>Parameter</w:t>
            </w:r>
          </w:p>
        </w:tc>
        <w:tc>
          <w:tcPr>
            <w:tcW w:w="1384" w:type="dxa"/>
            <w:shd w:val="clear" w:color="auto" w:fill="D9EAF7"/>
            <w:tcMar>
              <w:top w:w="80" w:type="dxa"/>
              <w:left w:w="70" w:type="dxa"/>
              <w:bottom w:w="80" w:type="dxa"/>
              <w:right w:w="70" w:type="dxa"/>
            </w:tcMar>
            <w:vAlign w:val="center"/>
          </w:tcPr>
          <w:p w14:paraId="68A89C6A">
            <w:pPr>
              <w:jc w:val="center"/>
            </w:pPr>
            <w:r>
              <w:rPr>
                <w:rFonts w:ascii="Times New Roman" w:hAnsi="Times New Roman" w:eastAsia="Times New Roman"/>
                <w:b/>
                <w:sz w:val="16"/>
              </w:rPr>
              <w:t>Coefficient</w:t>
            </w:r>
          </w:p>
        </w:tc>
        <w:tc>
          <w:tcPr>
            <w:tcW w:w="1384" w:type="dxa"/>
            <w:shd w:val="clear" w:color="auto" w:fill="D9EAF7"/>
            <w:tcMar>
              <w:top w:w="80" w:type="dxa"/>
              <w:left w:w="70" w:type="dxa"/>
              <w:bottom w:w="80" w:type="dxa"/>
              <w:right w:w="70" w:type="dxa"/>
            </w:tcMar>
            <w:vAlign w:val="center"/>
          </w:tcPr>
          <w:p w14:paraId="5828E297">
            <w:pPr>
              <w:jc w:val="center"/>
            </w:pPr>
            <w:r>
              <w:rPr>
                <w:rFonts w:ascii="Times New Roman" w:hAnsi="Times New Roman" w:eastAsia="Times New Roman"/>
                <w:b/>
                <w:sz w:val="16"/>
              </w:rPr>
              <w:t>Std. Err.</w:t>
            </w:r>
          </w:p>
        </w:tc>
        <w:tc>
          <w:tcPr>
            <w:tcW w:w="1384" w:type="dxa"/>
            <w:shd w:val="clear" w:color="auto" w:fill="D9EAF7"/>
            <w:tcMar>
              <w:top w:w="80" w:type="dxa"/>
              <w:left w:w="70" w:type="dxa"/>
              <w:bottom w:w="80" w:type="dxa"/>
              <w:right w:w="70" w:type="dxa"/>
            </w:tcMar>
            <w:vAlign w:val="center"/>
          </w:tcPr>
          <w:p w14:paraId="0543712B">
            <w:pPr>
              <w:jc w:val="center"/>
            </w:pPr>
            <w:r>
              <w:rPr>
                <w:rFonts w:ascii="Times New Roman" w:hAnsi="Times New Roman" w:eastAsia="Times New Roman"/>
                <w:b/>
                <w:sz w:val="16"/>
              </w:rPr>
              <w:t>T-stat</w:t>
            </w:r>
          </w:p>
        </w:tc>
        <w:tc>
          <w:tcPr>
            <w:tcW w:w="1384" w:type="dxa"/>
            <w:shd w:val="clear" w:color="auto" w:fill="D9EAF7"/>
            <w:tcMar>
              <w:top w:w="80" w:type="dxa"/>
              <w:left w:w="70" w:type="dxa"/>
              <w:bottom w:w="80" w:type="dxa"/>
              <w:right w:w="70" w:type="dxa"/>
            </w:tcMar>
            <w:vAlign w:val="center"/>
          </w:tcPr>
          <w:p w14:paraId="4303BA37">
            <w:pPr>
              <w:jc w:val="center"/>
            </w:pPr>
            <w:r>
              <w:rPr>
                <w:rFonts w:ascii="Times New Roman" w:hAnsi="Times New Roman" w:eastAsia="Times New Roman"/>
                <w:b/>
                <w:sz w:val="16"/>
              </w:rPr>
              <w:t>P-value</w:t>
            </w:r>
          </w:p>
        </w:tc>
        <w:tc>
          <w:tcPr>
            <w:tcW w:w="1384" w:type="dxa"/>
            <w:shd w:val="clear" w:color="auto" w:fill="D9EAF7"/>
            <w:tcMar>
              <w:top w:w="80" w:type="dxa"/>
              <w:left w:w="70" w:type="dxa"/>
              <w:bottom w:w="80" w:type="dxa"/>
              <w:right w:w="70" w:type="dxa"/>
            </w:tcMar>
            <w:vAlign w:val="center"/>
          </w:tcPr>
          <w:p w14:paraId="7CC5909E">
            <w:pPr>
              <w:jc w:val="center"/>
            </w:pPr>
            <w:r>
              <w:rPr>
                <w:rFonts w:ascii="Times New Roman" w:hAnsi="Times New Roman" w:eastAsia="Times New Roman"/>
                <w:b/>
                <w:sz w:val="16"/>
              </w:rPr>
              <w:t>95% CI</w:t>
            </w:r>
          </w:p>
        </w:tc>
      </w:tr>
      <w:tr w14:paraId="4B4093CB">
        <w:trPr>
          <w:jc w:val="center"/>
        </w:trPr>
        <w:tc>
          <w:tcPr>
            <w:tcW w:w="8304" w:type="dxa"/>
            <w:gridSpan w:val="6"/>
            <w:shd w:val="clear" w:color="auto" w:fill="F2F2F2"/>
            <w:tcMar>
              <w:top w:w="80" w:type="dxa"/>
              <w:left w:w="70" w:type="dxa"/>
              <w:bottom w:w="80" w:type="dxa"/>
              <w:right w:w="70" w:type="dxa"/>
            </w:tcMar>
          </w:tcPr>
          <w:p w14:paraId="73868CEA">
            <w:pPr>
              <w:jc w:val="left"/>
            </w:pPr>
            <w:r>
              <w:rPr>
                <w:rFonts w:ascii="Times New Roman" w:hAnsi="Times New Roman" w:eastAsia="Times New Roman"/>
                <w:b/>
                <w:sz w:val="16"/>
              </w:rPr>
              <w:t>Panel A: No lagged controls; Dependent variable = flow_w</w:t>
            </w:r>
          </w:p>
        </w:tc>
      </w:tr>
      <w:tr w14:paraId="25B41D9E">
        <w:trPr>
          <w:jc w:val="center"/>
        </w:trPr>
        <w:tc>
          <w:tcPr>
            <w:tcW w:w="1384" w:type="dxa"/>
            <w:tcMar>
              <w:top w:w="80" w:type="dxa"/>
              <w:left w:w="70" w:type="dxa"/>
              <w:bottom w:w="80" w:type="dxa"/>
              <w:right w:w="70" w:type="dxa"/>
            </w:tcMar>
            <w:vAlign w:val="center"/>
          </w:tcPr>
          <w:p w14:paraId="34A00792">
            <w:pPr>
              <w:jc w:val="left"/>
            </w:pPr>
            <w:r>
              <w:rPr>
                <w:rFonts w:ascii="Times New Roman" w:hAnsi="Times New Roman" w:eastAsia="Times New Roman"/>
                <w:b w:val="0"/>
                <w:sz w:val="16"/>
              </w:rPr>
              <w:t>const</w:t>
            </w:r>
          </w:p>
        </w:tc>
        <w:tc>
          <w:tcPr>
            <w:tcW w:w="1384" w:type="dxa"/>
            <w:tcMar>
              <w:top w:w="80" w:type="dxa"/>
              <w:left w:w="70" w:type="dxa"/>
              <w:bottom w:w="80" w:type="dxa"/>
              <w:right w:w="70" w:type="dxa"/>
            </w:tcMar>
            <w:vAlign w:val="center"/>
          </w:tcPr>
          <w:p w14:paraId="5A35B6E8">
            <w:pPr>
              <w:jc w:val="center"/>
            </w:pPr>
            <w:r>
              <w:rPr>
                <w:rFonts w:ascii="Times New Roman" w:hAnsi="Times New Roman" w:eastAsia="Times New Roman"/>
                <w:b w:val="0"/>
                <w:sz w:val="16"/>
              </w:rPr>
              <w:t>-0.0026***</w:t>
            </w:r>
          </w:p>
        </w:tc>
        <w:tc>
          <w:tcPr>
            <w:tcW w:w="1384" w:type="dxa"/>
            <w:tcMar>
              <w:top w:w="80" w:type="dxa"/>
              <w:left w:w="70" w:type="dxa"/>
              <w:bottom w:w="80" w:type="dxa"/>
              <w:right w:w="70" w:type="dxa"/>
            </w:tcMar>
            <w:vAlign w:val="center"/>
          </w:tcPr>
          <w:p w14:paraId="5696C2A4">
            <w:pPr>
              <w:jc w:val="center"/>
            </w:pPr>
            <w:r>
              <w:rPr>
                <w:rFonts w:ascii="Times New Roman" w:hAnsi="Times New Roman" w:eastAsia="Times New Roman"/>
                <w:b w:val="0"/>
                <w:sz w:val="16"/>
              </w:rPr>
              <w:t>0.000008</w:t>
            </w:r>
          </w:p>
        </w:tc>
        <w:tc>
          <w:tcPr>
            <w:tcW w:w="1384" w:type="dxa"/>
            <w:tcMar>
              <w:top w:w="80" w:type="dxa"/>
              <w:left w:w="70" w:type="dxa"/>
              <w:bottom w:w="80" w:type="dxa"/>
              <w:right w:w="70" w:type="dxa"/>
            </w:tcMar>
            <w:vAlign w:val="center"/>
          </w:tcPr>
          <w:p w14:paraId="5520B27E">
            <w:pPr>
              <w:jc w:val="center"/>
            </w:pPr>
            <w:r>
              <w:rPr>
                <w:rFonts w:ascii="Times New Roman" w:hAnsi="Times New Roman" w:eastAsia="Times New Roman"/>
                <w:b w:val="0"/>
                <w:sz w:val="16"/>
              </w:rPr>
              <w:t>-324.59</w:t>
            </w:r>
          </w:p>
        </w:tc>
        <w:tc>
          <w:tcPr>
            <w:tcW w:w="1384" w:type="dxa"/>
            <w:tcMar>
              <w:top w:w="80" w:type="dxa"/>
              <w:left w:w="70" w:type="dxa"/>
              <w:bottom w:w="80" w:type="dxa"/>
              <w:right w:w="70" w:type="dxa"/>
            </w:tcMar>
            <w:vAlign w:val="center"/>
          </w:tcPr>
          <w:p w14:paraId="65CA61FB">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4DB758E7">
            <w:pPr>
              <w:jc w:val="center"/>
            </w:pPr>
            <w:r>
              <w:rPr>
                <w:rFonts w:ascii="Times New Roman" w:hAnsi="Times New Roman" w:eastAsia="Times New Roman"/>
                <w:b w:val="0"/>
                <w:sz w:val="16"/>
              </w:rPr>
              <w:t>[-0.0026, -0.0026]</w:t>
            </w:r>
          </w:p>
        </w:tc>
      </w:tr>
      <w:tr w14:paraId="14703697">
        <w:trPr>
          <w:jc w:val="center"/>
        </w:trPr>
        <w:tc>
          <w:tcPr>
            <w:tcW w:w="1384" w:type="dxa"/>
            <w:tcMar>
              <w:top w:w="80" w:type="dxa"/>
              <w:left w:w="70" w:type="dxa"/>
              <w:bottom w:w="80" w:type="dxa"/>
              <w:right w:w="70" w:type="dxa"/>
            </w:tcMar>
            <w:vAlign w:val="center"/>
          </w:tcPr>
          <w:p w14:paraId="0E7A5BA3">
            <w:pPr>
              <w:jc w:val="left"/>
            </w:pPr>
            <w:r>
              <w:rPr>
                <w:rFonts w:ascii="Times New Roman" w:hAnsi="Times New Roman" w:eastAsia="Times New Roman"/>
                <w:b w:val="0"/>
                <w:sz w:val="16"/>
              </w:rPr>
              <w:t>AI_post</w:t>
            </w:r>
          </w:p>
        </w:tc>
        <w:tc>
          <w:tcPr>
            <w:tcW w:w="1384" w:type="dxa"/>
            <w:tcMar>
              <w:top w:w="80" w:type="dxa"/>
              <w:left w:w="70" w:type="dxa"/>
              <w:bottom w:w="80" w:type="dxa"/>
              <w:right w:w="70" w:type="dxa"/>
            </w:tcMar>
            <w:vAlign w:val="center"/>
          </w:tcPr>
          <w:p w14:paraId="5B25F527">
            <w:pPr>
              <w:jc w:val="center"/>
            </w:pPr>
            <w:r>
              <w:rPr>
                <w:rFonts w:ascii="Times New Roman" w:hAnsi="Times New Roman" w:eastAsia="Times New Roman"/>
                <w:b w:val="0"/>
                <w:sz w:val="16"/>
              </w:rPr>
              <w:t>0.0024***</w:t>
            </w:r>
          </w:p>
        </w:tc>
        <w:tc>
          <w:tcPr>
            <w:tcW w:w="1384" w:type="dxa"/>
            <w:tcMar>
              <w:top w:w="80" w:type="dxa"/>
              <w:left w:w="70" w:type="dxa"/>
              <w:bottom w:w="80" w:type="dxa"/>
              <w:right w:w="70" w:type="dxa"/>
            </w:tcMar>
            <w:vAlign w:val="center"/>
          </w:tcPr>
          <w:p w14:paraId="7B9BADB9">
            <w:pPr>
              <w:jc w:val="center"/>
            </w:pPr>
            <w:r>
              <w:rPr>
                <w:rFonts w:ascii="Times New Roman" w:hAnsi="Times New Roman" w:eastAsia="Times New Roman"/>
                <w:b w:val="0"/>
                <w:sz w:val="16"/>
              </w:rPr>
              <w:t>0.0007</w:t>
            </w:r>
          </w:p>
        </w:tc>
        <w:tc>
          <w:tcPr>
            <w:tcW w:w="1384" w:type="dxa"/>
            <w:tcMar>
              <w:top w:w="80" w:type="dxa"/>
              <w:left w:w="70" w:type="dxa"/>
              <w:bottom w:w="80" w:type="dxa"/>
              <w:right w:w="70" w:type="dxa"/>
            </w:tcMar>
            <w:vAlign w:val="center"/>
          </w:tcPr>
          <w:p w14:paraId="772C4119">
            <w:pPr>
              <w:jc w:val="center"/>
            </w:pPr>
            <w:r>
              <w:rPr>
                <w:rFonts w:ascii="Times New Roman" w:hAnsi="Times New Roman" w:eastAsia="Times New Roman"/>
                <w:b w:val="0"/>
                <w:sz w:val="16"/>
              </w:rPr>
              <w:t>3.3777</w:t>
            </w:r>
          </w:p>
        </w:tc>
        <w:tc>
          <w:tcPr>
            <w:tcW w:w="1384" w:type="dxa"/>
            <w:tcMar>
              <w:top w:w="80" w:type="dxa"/>
              <w:left w:w="70" w:type="dxa"/>
              <w:bottom w:w="80" w:type="dxa"/>
              <w:right w:w="70" w:type="dxa"/>
            </w:tcMar>
            <w:vAlign w:val="center"/>
          </w:tcPr>
          <w:p w14:paraId="54368D53">
            <w:pPr>
              <w:jc w:val="center"/>
            </w:pPr>
            <w:r>
              <w:rPr>
                <w:rFonts w:ascii="Times New Roman" w:hAnsi="Times New Roman" w:eastAsia="Times New Roman"/>
                <w:b w:val="0"/>
                <w:sz w:val="16"/>
              </w:rPr>
              <w:t>0.0007</w:t>
            </w:r>
          </w:p>
        </w:tc>
        <w:tc>
          <w:tcPr>
            <w:tcW w:w="1384" w:type="dxa"/>
            <w:tcMar>
              <w:top w:w="80" w:type="dxa"/>
              <w:left w:w="70" w:type="dxa"/>
              <w:bottom w:w="80" w:type="dxa"/>
              <w:right w:w="70" w:type="dxa"/>
            </w:tcMar>
            <w:vAlign w:val="center"/>
          </w:tcPr>
          <w:p w14:paraId="67A977EE">
            <w:pPr>
              <w:jc w:val="center"/>
            </w:pPr>
            <w:r>
              <w:rPr>
                <w:rFonts w:ascii="Times New Roman" w:hAnsi="Times New Roman" w:eastAsia="Times New Roman"/>
                <w:b w:val="0"/>
                <w:sz w:val="16"/>
              </w:rPr>
              <w:t>[0.0010, 0.0038]</w:t>
            </w:r>
          </w:p>
        </w:tc>
      </w:tr>
      <w:tr w14:paraId="27AD9480">
        <w:trPr>
          <w:jc w:val="center"/>
        </w:trPr>
        <w:tc>
          <w:tcPr>
            <w:tcW w:w="1384" w:type="dxa"/>
            <w:tcMar>
              <w:top w:w="80" w:type="dxa"/>
              <w:left w:w="70" w:type="dxa"/>
              <w:bottom w:w="80" w:type="dxa"/>
              <w:right w:w="70" w:type="dxa"/>
            </w:tcMar>
            <w:vAlign w:val="center"/>
          </w:tcPr>
          <w:p w14:paraId="675E3DEF">
            <w:pPr>
              <w:jc w:val="left"/>
            </w:pPr>
            <w:r>
              <w:rPr>
                <w:rFonts w:ascii="Times New Roman" w:hAnsi="Times New Roman" w:eastAsia="Times New Roman"/>
                <w:b/>
                <w:sz w:val="16"/>
              </w:rPr>
              <w:t>Observations</w:t>
            </w:r>
          </w:p>
        </w:tc>
        <w:tc>
          <w:tcPr>
            <w:tcW w:w="1384" w:type="dxa"/>
            <w:tcMar>
              <w:top w:w="80" w:type="dxa"/>
              <w:left w:w="70" w:type="dxa"/>
              <w:bottom w:w="80" w:type="dxa"/>
              <w:right w:w="70" w:type="dxa"/>
            </w:tcMar>
            <w:vAlign w:val="center"/>
          </w:tcPr>
          <w:p w14:paraId="454C5D0A">
            <w:pPr>
              <w:jc w:val="center"/>
            </w:pPr>
            <w:r>
              <w:rPr>
                <w:rFonts w:ascii="Times New Roman" w:hAnsi="Times New Roman" w:eastAsia="Times New Roman"/>
                <w:b w:val="0"/>
                <w:sz w:val="16"/>
              </w:rPr>
              <w:t>82,531</w:t>
            </w:r>
          </w:p>
        </w:tc>
        <w:tc>
          <w:tcPr>
            <w:tcW w:w="1384" w:type="dxa"/>
            <w:tcMar>
              <w:top w:w="80" w:type="dxa"/>
              <w:left w:w="70" w:type="dxa"/>
              <w:bottom w:w="80" w:type="dxa"/>
              <w:right w:w="70" w:type="dxa"/>
            </w:tcMar>
            <w:vAlign w:val="center"/>
          </w:tcPr>
          <w:p w14:paraId="5750957A">
            <w:pPr>
              <w:jc w:val="center"/>
            </w:pPr>
          </w:p>
        </w:tc>
        <w:tc>
          <w:tcPr>
            <w:tcW w:w="1384" w:type="dxa"/>
            <w:tcMar>
              <w:top w:w="80" w:type="dxa"/>
              <w:left w:w="70" w:type="dxa"/>
              <w:bottom w:w="80" w:type="dxa"/>
              <w:right w:w="70" w:type="dxa"/>
            </w:tcMar>
            <w:vAlign w:val="center"/>
          </w:tcPr>
          <w:p w14:paraId="555E82A8">
            <w:pPr>
              <w:jc w:val="center"/>
            </w:pPr>
          </w:p>
        </w:tc>
        <w:tc>
          <w:tcPr>
            <w:tcW w:w="1384" w:type="dxa"/>
            <w:tcMar>
              <w:top w:w="80" w:type="dxa"/>
              <w:left w:w="70" w:type="dxa"/>
              <w:bottom w:w="80" w:type="dxa"/>
              <w:right w:w="70" w:type="dxa"/>
            </w:tcMar>
            <w:vAlign w:val="center"/>
          </w:tcPr>
          <w:p w14:paraId="3900AE65">
            <w:pPr>
              <w:jc w:val="center"/>
            </w:pPr>
          </w:p>
        </w:tc>
        <w:tc>
          <w:tcPr>
            <w:tcW w:w="1384" w:type="dxa"/>
            <w:tcMar>
              <w:top w:w="80" w:type="dxa"/>
              <w:left w:w="70" w:type="dxa"/>
              <w:bottom w:w="80" w:type="dxa"/>
              <w:right w:w="70" w:type="dxa"/>
            </w:tcMar>
            <w:vAlign w:val="center"/>
          </w:tcPr>
          <w:p w14:paraId="52E864BD">
            <w:pPr>
              <w:jc w:val="center"/>
            </w:pPr>
          </w:p>
        </w:tc>
      </w:tr>
      <w:tr w14:paraId="42F3FC19">
        <w:trPr>
          <w:jc w:val="center"/>
        </w:trPr>
        <w:tc>
          <w:tcPr>
            <w:tcW w:w="1384" w:type="dxa"/>
            <w:tcMar>
              <w:top w:w="80" w:type="dxa"/>
              <w:left w:w="70" w:type="dxa"/>
              <w:bottom w:w="80" w:type="dxa"/>
              <w:right w:w="70" w:type="dxa"/>
            </w:tcMar>
            <w:vAlign w:val="center"/>
          </w:tcPr>
          <w:p w14:paraId="5AFB39CB">
            <w:pPr>
              <w:jc w:val="left"/>
            </w:pPr>
            <w:r>
              <w:rPr>
                <w:rFonts w:ascii="Times New Roman" w:hAnsi="Times New Roman" w:eastAsia="Times New Roman"/>
                <w:b/>
                <w:sz w:val="16"/>
              </w:rPr>
              <w:t>R-squared</w:t>
            </w:r>
          </w:p>
        </w:tc>
        <w:tc>
          <w:tcPr>
            <w:tcW w:w="1384" w:type="dxa"/>
            <w:tcMar>
              <w:top w:w="80" w:type="dxa"/>
              <w:left w:w="70" w:type="dxa"/>
              <w:bottom w:w="80" w:type="dxa"/>
              <w:right w:w="70" w:type="dxa"/>
            </w:tcMar>
            <w:vAlign w:val="center"/>
          </w:tcPr>
          <w:p w14:paraId="34C77BFC">
            <w:pPr>
              <w:jc w:val="center"/>
            </w:pPr>
            <w:r>
              <w:rPr>
                <w:rFonts w:ascii="Times New Roman" w:hAnsi="Times New Roman" w:eastAsia="Times New Roman"/>
                <w:b w:val="0"/>
                <w:sz w:val="16"/>
              </w:rPr>
              <w:t>0.0001</w:t>
            </w:r>
          </w:p>
        </w:tc>
        <w:tc>
          <w:tcPr>
            <w:tcW w:w="1384" w:type="dxa"/>
            <w:tcMar>
              <w:top w:w="80" w:type="dxa"/>
              <w:left w:w="70" w:type="dxa"/>
              <w:bottom w:w="80" w:type="dxa"/>
              <w:right w:w="70" w:type="dxa"/>
            </w:tcMar>
            <w:vAlign w:val="center"/>
          </w:tcPr>
          <w:p w14:paraId="0068F73D">
            <w:pPr>
              <w:jc w:val="center"/>
            </w:pPr>
          </w:p>
        </w:tc>
        <w:tc>
          <w:tcPr>
            <w:tcW w:w="1384" w:type="dxa"/>
            <w:tcMar>
              <w:top w:w="80" w:type="dxa"/>
              <w:left w:w="70" w:type="dxa"/>
              <w:bottom w:w="80" w:type="dxa"/>
              <w:right w:w="70" w:type="dxa"/>
            </w:tcMar>
            <w:vAlign w:val="center"/>
          </w:tcPr>
          <w:p w14:paraId="10979FA0">
            <w:pPr>
              <w:jc w:val="center"/>
            </w:pPr>
          </w:p>
        </w:tc>
        <w:tc>
          <w:tcPr>
            <w:tcW w:w="1384" w:type="dxa"/>
            <w:tcMar>
              <w:top w:w="80" w:type="dxa"/>
              <w:left w:w="70" w:type="dxa"/>
              <w:bottom w:w="80" w:type="dxa"/>
              <w:right w:w="70" w:type="dxa"/>
            </w:tcMar>
            <w:vAlign w:val="center"/>
          </w:tcPr>
          <w:p w14:paraId="3383F02B">
            <w:pPr>
              <w:jc w:val="center"/>
            </w:pPr>
          </w:p>
        </w:tc>
        <w:tc>
          <w:tcPr>
            <w:tcW w:w="1384" w:type="dxa"/>
            <w:tcMar>
              <w:top w:w="80" w:type="dxa"/>
              <w:left w:w="70" w:type="dxa"/>
              <w:bottom w:w="80" w:type="dxa"/>
              <w:right w:w="70" w:type="dxa"/>
            </w:tcMar>
            <w:vAlign w:val="center"/>
          </w:tcPr>
          <w:p w14:paraId="4574BB97">
            <w:pPr>
              <w:jc w:val="center"/>
            </w:pPr>
          </w:p>
        </w:tc>
      </w:tr>
      <w:tr w14:paraId="636EE78D">
        <w:trPr>
          <w:jc w:val="center"/>
        </w:trPr>
        <w:tc>
          <w:tcPr>
            <w:tcW w:w="1384" w:type="dxa"/>
            <w:tcMar>
              <w:top w:w="80" w:type="dxa"/>
              <w:left w:w="70" w:type="dxa"/>
              <w:bottom w:w="80" w:type="dxa"/>
              <w:right w:w="70" w:type="dxa"/>
            </w:tcMar>
            <w:vAlign w:val="center"/>
          </w:tcPr>
          <w:p w14:paraId="1F94C337">
            <w:pPr>
              <w:jc w:val="left"/>
            </w:pPr>
            <w:r>
              <w:rPr>
                <w:rFonts w:ascii="Times New Roman" w:hAnsi="Times New Roman" w:eastAsia="Times New Roman"/>
                <w:b/>
                <w:sz w:val="16"/>
              </w:rPr>
              <w:t>Entities</w:t>
            </w:r>
          </w:p>
        </w:tc>
        <w:tc>
          <w:tcPr>
            <w:tcW w:w="1384" w:type="dxa"/>
            <w:tcMar>
              <w:top w:w="80" w:type="dxa"/>
              <w:left w:w="70" w:type="dxa"/>
              <w:bottom w:w="80" w:type="dxa"/>
              <w:right w:w="70" w:type="dxa"/>
            </w:tcMar>
            <w:vAlign w:val="center"/>
          </w:tcPr>
          <w:p w14:paraId="4C114424">
            <w:pPr>
              <w:jc w:val="center"/>
            </w:pPr>
            <w:r>
              <w:rPr>
                <w:rFonts w:ascii="Times New Roman" w:hAnsi="Times New Roman" w:eastAsia="Times New Roman"/>
                <w:b w:val="0"/>
                <w:sz w:val="16"/>
              </w:rPr>
              <w:t>1,269</w:t>
            </w:r>
          </w:p>
        </w:tc>
        <w:tc>
          <w:tcPr>
            <w:tcW w:w="1384" w:type="dxa"/>
            <w:tcMar>
              <w:top w:w="80" w:type="dxa"/>
              <w:left w:w="70" w:type="dxa"/>
              <w:bottom w:w="80" w:type="dxa"/>
              <w:right w:w="70" w:type="dxa"/>
            </w:tcMar>
            <w:vAlign w:val="center"/>
          </w:tcPr>
          <w:p w14:paraId="450419B3">
            <w:pPr>
              <w:jc w:val="center"/>
            </w:pPr>
          </w:p>
        </w:tc>
        <w:tc>
          <w:tcPr>
            <w:tcW w:w="1384" w:type="dxa"/>
            <w:tcMar>
              <w:top w:w="80" w:type="dxa"/>
              <w:left w:w="70" w:type="dxa"/>
              <w:bottom w:w="80" w:type="dxa"/>
              <w:right w:w="70" w:type="dxa"/>
            </w:tcMar>
            <w:vAlign w:val="center"/>
          </w:tcPr>
          <w:p w14:paraId="100C038B">
            <w:pPr>
              <w:jc w:val="center"/>
            </w:pPr>
          </w:p>
        </w:tc>
        <w:tc>
          <w:tcPr>
            <w:tcW w:w="1384" w:type="dxa"/>
            <w:tcMar>
              <w:top w:w="80" w:type="dxa"/>
              <w:left w:w="70" w:type="dxa"/>
              <w:bottom w:w="80" w:type="dxa"/>
              <w:right w:w="70" w:type="dxa"/>
            </w:tcMar>
            <w:vAlign w:val="center"/>
          </w:tcPr>
          <w:p w14:paraId="325866B5">
            <w:pPr>
              <w:jc w:val="center"/>
            </w:pPr>
          </w:p>
        </w:tc>
        <w:tc>
          <w:tcPr>
            <w:tcW w:w="1384" w:type="dxa"/>
            <w:tcMar>
              <w:top w:w="80" w:type="dxa"/>
              <w:left w:w="70" w:type="dxa"/>
              <w:bottom w:w="80" w:type="dxa"/>
              <w:right w:w="70" w:type="dxa"/>
            </w:tcMar>
            <w:vAlign w:val="center"/>
          </w:tcPr>
          <w:p w14:paraId="17F5FDB6">
            <w:pPr>
              <w:jc w:val="center"/>
            </w:pPr>
          </w:p>
        </w:tc>
      </w:tr>
      <w:tr w14:paraId="34545A05">
        <w:trPr>
          <w:jc w:val="center"/>
        </w:trPr>
        <w:tc>
          <w:tcPr>
            <w:tcW w:w="1384" w:type="dxa"/>
            <w:tcMar>
              <w:top w:w="80" w:type="dxa"/>
              <w:left w:w="70" w:type="dxa"/>
              <w:bottom w:w="80" w:type="dxa"/>
              <w:right w:w="70" w:type="dxa"/>
            </w:tcMar>
            <w:vAlign w:val="center"/>
          </w:tcPr>
          <w:p w14:paraId="2FFE6ED8">
            <w:pPr>
              <w:jc w:val="left"/>
            </w:pPr>
            <w:r>
              <w:rPr>
                <w:rFonts w:ascii="Times New Roman" w:hAnsi="Times New Roman" w:eastAsia="Times New Roman"/>
                <w:b/>
                <w:sz w:val="16"/>
              </w:rPr>
              <w:t>Time periods</w:t>
            </w:r>
          </w:p>
        </w:tc>
        <w:tc>
          <w:tcPr>
            <w:tcW w:w="1384" w:type="dxa"/>
            <w:tcMar>
              <w:top w:w="80" w:type="dxa"/>
              <w:left w:w="70" w:type="dxa"/>
              <w:bottom w:w="80" w:type="dxa"/>
              <w:right w:w="70" w:type="dxa"/>
            </w:tcMar>
            <w:vAlign w:val="center"/>
          </w:tcPr>
          <w:p w14:paraId="23CD67A8">
            <w:pPr>
              <w:jc w:val="center"/>
            </w:pPr>
            <w:r>
              <w:rPr>
                <w:rFonts w:ascii="Times New Roman" w:hAnsi="Times New Roman" w:eastAsia="Times New Roman"/>
                <w:b w:val="0"/>
                <w:sz w:val="16"/>
              </w:rPr>
              <w:t>71</w:t>
            </w:r>
          </w:p>
        </w:tc>
        <w:tc>
          <w:tcPr>
            <w:tcW w:w="1384" w:type="dxa"/>
            <w:tcMar>
              <w:top w:w="80" w:type="dxa"/>
              <w:left w:w="70" w:type="dxa"/>
              <w:bottom w:w="80" w:type="dxa"/>
              <w:right w:w="70" w:type="dxa"/>
            </w:tcMar>
            <w:vAlign w:val="center"/>
          </w:tcPr>
          <w:p w14:paraId="49DAB43F">
            <w:pPr>
              <w:jc w:val="center"/>
            </w:pPr>
          </w:p>
        </w:tc>
        <w:tc>
          <w:tcPr>
            <w:tcW w:w="1384" w:type="dxa"/>
            <w:tcMar>
              <w:top w:w="80" w:type="dxa"/>
              <w:left w:w="70" w:type="dxa"/>
              <w:bottom w:w="80" w:type="dxa"/>
              <w:right w:w="70" w:type="dxa"/>
            </w:tcMar>
            <w:vAlign w:val="center"/>
          </w:tcPr>
          <w:p w14:paraId="4B44CE36">
            <w:pPr>
              <w:jc w:val="center"/>
            </w:pPr>
          </w:p>
        </w:tc>
        <w:tc>
          <w:tcPr>
            <w:tcW w:w="1384" w:type="dxa"/>
            <w:tcMar>
              <w:top w:w="80" w:type="dxa"/>
              <w:left w:w="70" w:type="dxa"/>
              <w:bottom w:w="80" w:type="dxa"/>
              <w:right w:w="70" w:type="dxa"/>
            </w:tcMar>
            <w:vAlign w:val="center"/>
          </w:tcPr>
          <w:p w14:paraId="6758C3DB">
            <w:pPr>
              <w:jc w:val="center"/>
            </w:pPr>
          </w:p>
        </w:tc>
        <w:tc>
          <w:tcPr>
            <w:tcW w:w="1384" w:type="dxa"/>
            <w:tcMar>
              <w:top w:w="80" w:type="dxa"/>
              <w:left w:w="70" w:type="dxa"/>
              <w:bottom w:w="80" w:type="dxa"/>
              <w:right w:w="70" w:type="dxa"/>
            </w:tcMar>
            <w:vAlign w:val="center"/>
          </w:tcPr>
          <w:p w14:paraId="3A3B87B7">
            <w:pPr>
              <w:jc w:val="center"/>
            </w:pPr>
          </w:p>
        </w:tc>
      </w:tr>
      <w:tr w14:paraId="77FA230A">
        <w:trPr>
          <w:jc w:val="center"/>
        </w:trPr>
        <w:tc>
          <w:tcPr>
            <w:tcW w:w="8304" w:type="dxa"/>
            <w:gridSpan w:val="6"/>
            <w:shd w:val="clear" w:color="auto" w:fill="F2F2F2"/>
            <w:tcMar>
              <w:top w:w="80" w:type="dxa"/>
              <w:left w:w="70" w:type="dxa"/>
              <w:bottom w:w="80" w:type="dxa"/>
              <w:right w:w="70" w:type="dxa"/>
            </w:tcMar>
          </w:tcPr>
          <w:p w14:paraId="271291A2">
            <w:pPr>
              <w:jc w:val="left"/>
            </w:pPr>
            <w:r>
              <w:rPr>
                <w:rFonts w:ascii="Times New Roman" w:hAnsi="Times New Roman" w:eastAsia="Times New Roman"/>
                <w:b/>
                <w:sz w:val="16"/>
              </w:rPr>
              <w:t>Panel B: With lagged controls; Dependent variable = flow_w</w:t>
            </w:r>
          </w:p>
        </w:tc>
      </w:tr>
      <w:tr w14:paraId="09C0AFD8">
        <w:trPr>
          <w:jc w:val="center"/>
        </w:trPr>
        <w:tc>
          <w:tcPr>
            <w:tcW w:w="1384" w:type="dxa"/>
            <w:tcMar>
              <w:top w:w="80" w:type="dxa"/>
              <w:left w:w="70" w:type="dxa"/>
              <w:bottom w:w="80" w:type="dxa"/>
              <w:right w:w="70" w:type="dxa"/>
            </w:tcMar>
            <w:vAlign w:val="center"/>
          </w:tcPr>
          <w:p w14:paraId="3D106A78">
            <w:pPr>
              <w:jc w:val="left"/>
            </w:pPr>
            <w:r>
              <w:rPr>
                <w:rFonts w:ascii="Times New Roman" w:hAnsi="Times New Roman" w:eastAsia="Times New Roman"/>
                <w:b w:val="0"/>
                <w:sz w:val="16"/>
              </w:rPr>
              <w:t>const</w:t>
            </w:r>
          </w:p>
        </w:tc>
        <w:tc>
          <w:tcPr>
            <w:tcW w:w="1384" w:type="dxa"/>
            <w:tcMar>
              <w:top w:w="80" w:type="dxa"/>
              <w:left w:w="70" w:type="dxa"/>
              <w:bottom w:w="80" w:type="dxa"/>
              <w:right w:w="70" w:type="dxa"/>
            </w:tcMar>
            <w:vAlign w:val="center"/>
          </w:tcPr>
          <w:p w14:paraId="5B8CB36D">
            <w:pPr>
              <w:jc w:val="center"/>
            </w:pPr>
            <w:r>
              <w:rPr>
                <w:rFonts w:ascii="Times New Roman" w:hAnsi="Times New Roman" w:eastAsia="Times New Roman"/>
                <w:b w:val="0"/>
                <w:sz w:val="16"/>
              </w:rPr>
              <w:t>0.1153***</w:t>
            </w:r>
          </w:p>
        </w:tc>
        <w:tc>
          <w:tcPr>
            <w:tcW w:w="1384" w:type="dxa"/>
            <w:tcMar>
              <w:top w:w="80" w:type="dxa"/>
              <w:left w:w="70" w:type="dxa"/>
              <w:bottom w:w="80" w:type="dxa"/>
              <w:right w:w="70" w:type="dxa"/>
            </w:tcMar>
            <w:vAlign w:val="center"/>
          </w:tcPr>
          <w:p w14:paraId="174EB6D3">
            <w:pPr>
              <w:jc w:val="center"/>
            </w:pPr>
            <w:r>
              <w:rPr>
                <w:rFonts w:ascii="Times New Roman" w:hAnsi="Times New Roman" w:eastAsia="Times New Roman"/>
                <w:b w:val="0"/>
                <w:sz w:val="16"/>
              </w:rPr>
              <w:t>0.0095</w:t>
            </w:r>
          </w:p>
        </w:tc>
        <w:tc>
          <w:tcPr>
            <w:tcW w:w="1384" w:type="dxa"/>
            <w:tcMar>
              <w:top w:w="80" w:type="dxa"/>
              <w:left w:w="70" w:type="dxa"/>
              <w:bottom w:w="80" w:type="dxa"/>
              <w:right w:w="70" w:type="dxa"/>
            </w:tcMar>
            <w:vAlign w:val="center"/>
          </w:tcPr>
          <w:p w14:paraId="307A151B">
            <w:pPr>
              <w:jc w:val="center"/>
            </w:pPr>
            <w:r>
              <w:rPr>
                <w:rFonts w:ascii="Times New Roman" w:hAnsi="Times New Roman" w:eastAsia="Times New Roman"/>
                <w:b w:val="0"/>
                <w:sz w:val="16"/>
              </w:rPr>
              <w:t>12.173</w:t>
            </w:r>
          </w:p>
        </w:tc>
        <w:tc>
          <w:tcPr>
            <w:tcW w:w="1384" w:type="dxa"/>
            <w:tcMar>
              <w:top w:w="80" w:type="dxa"/>
              <w:left w:w="70" w:type="dxa"/>
              <w:bottom w:w="80" w:type="dxa"/>
              <w:right w:w="70" w:type="dxa"/>
            </w:tcMar>
            <w:vAlign w:val="center"/>
          </w:tcPr>
          <w:p w14:paraId="7C57BDD9">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137C6648">
            <w:pPr>
              <w:jc w:val="center"/>
            </w:pPr>
            <w:r>
              <w:rPr>
                <w:rFonts w:ascii="Times New Roman" w:hAnsi="Times New Roman" w:eastAsia="Times New Roman"/>
                <w:b w:val="0"/>
                <w:sz w:val="16"/>
              </w:rPr>
              <w:t>[0.0967, 0.1339]</w:t>
            </w:r>
          </w:p>
        </w:tc>
      </w:tr>
      <w:tr w14:paraId="18B28D24">
        <w:trPr>
          <w:jc w:val="center"/>
        </w:trPr>
        <w:tc>
          <w:tcPr>
            <w:tcW w:w="1384" w:type="dxa"/>
            <w:tcMar>
              <w:top w:w="80" w:type="dxa"/>
              <w:left w:w="70" w:type="dxa"/>
              <w:bottom w:w="80" w:type="dxa"/>
              <w:right w:w="70" w:type="dxa"/>
            </w:tcMar>
            <w:vAlign w:val="center"/>
          </w:tcPr>
          <w:p w14:paraId="4C81676E">
            <w:pPr>
              <w:jc w:val="left"/>
            </w:pPr>
            <w:r>
              <w:rPr>
                <w:rFonts w:ascii="Times New Roman" w:hAnsi="Times New Roman" w:eastAsia="Times New Roman"/>
                <w:b w:val="0"/>
                <w:sz w:val="16"/>
              </w:rPr>
              <w:t>AI_post</w:t>
            </w:r>
          </w:p>
        </w:tc>
        <w:tc>
          <w:tcPr>
            <w:tcW w:w="1384" w:type="dxa"/>
            <w:tcMar>
              <w:top w:w="80" w:type="dxa"/>
              <w:left w:w="70" w:type="dxa"/>
              <w:bottom w:w="80" w:type="dxa"/>
              <w:right w:w="70" w:type="dxa"/>
            </w:tcMar>
            <w:vAlign w:val="center"/>
          </w:tcPr>
          <w:p w14:paraId="2F254CF1">
            <w:pPr>
              <w:jc w:val="center"/>
            </w:pPr>
            <w:r>
              <w:rPr>
                <w:rFonts w:ascii="Times New Roman" w:hAnsi="Times New Roman" w:eastAsia="Times New Roman"/>
                <w:b w:val="0"/>
                <w:sz w:val="16"/>
              </w:rPr>
              <w:t>0.0057***</w:t>
            </w:r>
          </w:p>
        </w:tc>
        <w:tc>
          <w:tcPr>
            <w:tcW w:w="1384" w:type="dxa"/>
            <w:tcMar>
              <w:top w:w="80" w:type="dxa"/>
              <w:left w:w="70" w:type="dxa"/>
              <w:bottom w:w="80" w:type="dxa"/>
              <w:right w:w="70" w:type="dxa"/>
            </w:tcMar>
            <w:vAlign w:val="center"/>
          </w:tcPr>
          <w:p w14:paraId="01A4A144">
            <w:pPr>
              <w:jc w:val="center"/>
            </w:pPr>
            <w:r>
              <w:rPr>
                <w:rFonts w:ascii="Times New Roman" w:hAnsi="Times New Roman" w:eastAsia="Times New Roman"/>
                <w:b w:val="0"/>
                <w:sz w:val="16"/>
              </w:rPr>
              <w:t>0.0009</w:t>
            </w:r>
          </w:p>
        </w:tc>
        <w:tc>
          <w:tcPr>
            <w:tcW w:w="1384" w:type="dxa"/>
            <w:tcMar>
              <w:top w:w="80" w:type="dxa"/>
              <w:left w:w="70" w:type="dxa"/>
              <w:bottom w:w="80" w:type="dxa"/>
              <w:right w:w="70" w:type="dxa"/>
            </w:tcMar>
            <w:vAlign w:val="center"/>
          </w:tcPr>
          <w:p w14:paraId="4B765DF5">
            <w:pPr>
              <w:jc w:val="center"/>
            </w:pPr>
            <w:r>
              <w:rPr>
                <w:rFonts w:ascii="Times New Roman" w:hAnsi="Times New Roman" w:eastAsia="Times New Roman"/>
                <w:b w:val="0"/>
                <w:sz w:val="16"/>
              </w:rPr>
              <w:t>6.4092</w:t>
            </w:r>
          </w:p>
        </w:tc>
        <w:tc>
          <w:tcPr>
            <w:tcW w:w="1384" w:type="dxa"/>
            <w:tcMar>
              <w:top w:w="80" w:type="dxa"/>
              <w:left w:w="70" w:type="dxa"/>
              <w:bottom w:w="80" w:type="dxa"/>
              <w:right w:w="70" w:type="dxa"/>
            </w:tcMar>
            <w:vAlign w:val="center"/>
          </w:tcPr>
          <w:p w14:paraId="10A9454A">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2AB8885C">
            <w:pPr>
              <w:jc w:val="center"/>
            </w:pPr>
            <w:r>
              <w:rPr>
                <w:rFonts w:ascii="Times New Roman" w:hAnsi="Times New Roman" w:eastAsia="Times New Roman"/>
                <w:b w:val="0"/>
                <w:sz w:val="16"/>
              </w:rPr>
              <w:t>[0.0040, 0.0075]</w:t>
            </w:r>
          </w:p>
        </w:tc>
      </w:tr>
      <w:tr w14:paraId="10393EFF">
        <w:trPr>
          <w:jc w:val="center"/>
        </w:trPr>
        <w:tc>
          <w:tcPr>
            <w:tcW w:w="1384" w:type="dxa"/>
            <w:tcMar>
              <w:top w:w="80" w:type="dxa"/>
              <w:left w:w="70" w:type="dxa"/>
              <w:bottom w:w="80" w:type="dxa"/>
              <w:right w:w="70" w:type="dxa"/>
            </w:tcMar>
            <w:vAlign w:val="center"/>
          </w:tcPr>
          <w:p w14:paraId="01C31A08">
            <w:pPr>
              <w:jc w:val="left"/>
            </w:pPr>
            <w:r>
              <w:rPr>
                <w:rFonts w:ascii="Times New Roman" w:hAnsi="Times New Roman" w:eastAsia="Times New Roman"/>
                <w:b w:val="0"/>
                <w:sz w:val="16"/>
              </w:rPr>
              <w:t>log_mtna_lag</w:t>
            </w:r>
          </w:p>
        </w:tc>
        <w:tc>
          <w:tcPr>
            <w:tcW w:w="1384" w:type="dxa"/>
            <w:tcMar>
              <w:top w:w="80" w:type="dxa"/>
              <w:left w:w="70" w:type="dxa"/>
              <w:bottom w:w="80" w:type="dxa"/>
              <w:right w:w="70" w:type="dxa"/>
            </w:tcMar>
            <w:vAlign w:val="center"/>
          </w:tcPr>
          <w:p w14:paraId="6F271A95">
            <w:pPr>
              <w:jc w:val="center"/>
            </w:pPr>
            <w:r>
              <w:rPr>
                <w:rFonts w:ascii="Times New Roman" w:hAnsi="Times New Roman" w:eastAsia="Times New Roman"/>
                <w:b w:val="0"/>
                <w:sz w:val="16"/>
              </w:rPr>
              <w:t>-0.0319***</w:t>
            </w:r>
          </w:p>
        </w:tc>
        <w:tc>
          <w:tcPr>
            <w:tcW w:w="1384" w:type="dxa"/>
            <w:tcMar>
              <w:top w:w="80" w:type="dxa"/>
              <w:left w:w="70" w:type="dxa"/>
              <w:bottom w:w="80" w:type="dxa"/>
              <w:right w:w="70" w:type="dxa"/>
            </w:tcMar>
            <w:vAlign w:val="center"/>
          </w:tcPr>
          <w:p w14:paraId="19BD9718">
            <w:pPr>
              <w:jc w:val="center"/>
            </w:pPr>
            <w:r>
              <w:rPr>
                <w:rFonts w:ascii="Times New Roman" w:hAnsi="Times New Roman" w:eastAsia="Times New Roman"/>
                <w:b w:val="0"/>
                <w:sz w:val="16"/>
              </w:rPr>
              <w:t>0.0025</w:t>
            </w:r>
          </w:p>
        </w:tc>
        <w:tc>
          <w:tcPr>
            <w:tcW w:w="1384" w:type="dxa"/>
            <w:tcMar>
              <w:top w:w="80" w:type="dxa"/>
              <w:left w:w="70" w:type="dxa"/>
              <w:bottom w:w="80" w:type="dxa"/>
              <w:right w:w="70" w:type="dxa"/>
            </w:tcMar>
            <w:vAlign w:val="center"/>
          </w:tcPr>
          <w:p w14:paraId="0575709A">
            <w:pPr>
              <w:jc w:val="center"/>
            </w:pPr>
            <w:r>
              <w:rPr>
                <w:rFonts w:ascii="Times New Roman" w:hAnsi="Times New Roman" w:eastAsia="Times New Roman"/>
                <w:b w:val="0"/>
                <w:sz w:val="16"/>
              </w:rPr>
              <w:t>-12.603</w:t>
            </w:r>
          </w:p>
        </w:tc>
        <w:tc>
          <w:tcPr>
            <w:tcW w:w="1384" w:type="dxa"/>
            <w:tcMar>
              <w:top w:w="80" w:type="dxa"/>
              <w:left w:w="70" w:type="dxa"/>
              <w:bottom w:w="80" w:type="dxa"/>
              <w:right w:w="70" w:type="dxa"/>
            </w:tcMar>
            <w:vAlign w:val="center"/>
          </w:tcPr>
          <w:p w14:paraId="34D94905">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5F21502E">
            <w:pPr>
              <w:jc w:val="center"/>
            </w:pPr>
            <w:r>
              <w:rPr>
                <w:rFonts w:ascii="Times New Roman" w:hAnsi="Times New Roman" w:eastAsia="Times New Roman"/>
                <w:b w:val="0"/>
                <w:sz w:val="16"/>
              </w:rPr>
              <w:t>[-0.0368, -0.0269]</w:t>
            </w:r>
          </w:p>
        </w:tc>
      </w:tr>
      <w:tr w14:paraId="3CFD5FD1">
        <w:trPr>
          <w:jc w:val="center"/>
        </w:trPr>
        <w:tc>
          <w:tcPr>
            <w:tcW w:w="1384" w:type="dxa"/>
            <w:tcMar>
              <w:top w:w="80" w:type="dxa"/>
              <w:left w:w="70" w:type="dxa"/>
              <w:bottom w:w="80" w:type="dxa"/>
              <w:right w:w="70" w:type="dxa"/>
            </w:tcMar>
            <w:vAlign w:val="center"/>
          </w:tcPr>
          <w:p w14:paraId="226DABB0">
            <w:pPr>
              <w:jc w:val="left"/>
            </w:pPr>
            <w:r>
              <w:rPr>
                <w:rFonts w:ascii="Times New Roman" w:hAnsi="Times New Roman" w:eastAsia="Times New Roman"/>
                <w:b w:val="0"/>
                <w:sz w:val="16"/>
              </w:rPr>
              <w:t>mret_lag</w:t>
            </w:r>
          </w:p>
        </w:tc>
        <w:tc>
          <w:tcPr>
            <w:tcW w:w="1384" w:type="dxa"/>
            <w:tcMar>
              <w:top w:w="80" w:type="dxa"/>
              <w:left w:w="70" w:type="dxa"/>
              <w:bottom w:w="80" w:type="dxa"/>
              <w:right w:w="70" w:type="dxa"/>
            </w:tcMar>
            <w:vAlign w:val="center"/>
          </w:tcPr>
          <w:p w14:paraId="382C00D2">
            <w:pPr>
              <w:jc w:val="center"/>
            </w:pPr>
            <w:r>
              <w:rPr>
                <w:rFonts w:ascii="Times New Roman" w:hAnsi="Times New Roman" w:eastAsia="Times New Roman"/>
                <w:b w:val="0"/>
                <w:sz w:val="16"/>
              </w:rPr>
              <w:t>0.1369***</w:t>
            </w:r>
          </w:p>
        </w:tc>
        <w:tc>
          <w:tcPr>
            <w:tcW w:w="1384" w:type="dxa"/>
            <w:tcMar>
              <w:top w:w="80" w:type="dxa"/>
              <w:left w:w="70" w:type="dxa"/>
              <w:bottom w:w="80" w:type="dxa"/>
              <w:right w:w="70" w:type="dxa"/>
            </w:tcMar>
            <w:vAlign w:val="center"/>
          </w:tcPr>
          <w:p w14:paraId="1EAF1536">
            <w:pPr>
              <w:jc w:val="center"/>
            </w:pPr>
            <w:r>
              <w:rPr>
                <w:rFonts w:ascii="Times New Roman" w:hAnsi="Times New Roman" w:eastAsia="Times New Roman"/>
                <w:b w:val="0"/>
                <w:sz w:val="16"/>
              </w:rPr>
              <w:t>0.0213</w:t>
            </w:r>
          </w:p>
        </w:tc>
        <w:tc>
          <w:tcPr>
            <w:tcW w:w="1384" w:type="dxa"/>
            <w:tcMar>
              <w:top w:w="80" w:type="dxa"/>
              <w:left w:w="70" w:type="dxa"/>
              <w:bottom w:w="80" w:type="dxa"/>
              <w:right w:w="70" w:type="dxa"/>
            </w:tcMar>
            <w:vAlign w:val="center"/>
          </w:tcPr>
          <w:p w14:paraId="313F664D">
            <w:pPr>
              <w:jc w:val="center"/>
            </w:pPr>
            <w:r>
              <w:rPr>
                <w:rFonts w:ascii="Times New Roman" w:hAnsi="Times New Roman" w:eastAsia="Times New Roman"/>
                <w:b w:val="0"/>
                <w:sz w:val="16"/>
              </w:rPr>
              <w:t>6.4177</w:t>
            </w:r>
          </w:p>
        </w:tc>
        <w:tc>
          <w:tcPr>
            <w:tcW w:w="1384" w:type="dxa"/>
            <w:tcMar>
              <w:top w:w="80" w:type="dxa"/>
              <w:left w:w="70" w:type="dxa"/>
              <w:bottom w:w="80" w:type="dxa"/>
              <w:right w:w="70" w:type="dxa"/>
            </w:tcMar>
            <w:vAlign w:val="center"/>
          </w:tcPr>
          <w:p w14:paraId="4A4E2B08">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7157792C">
            <w:pPr>
              <w:jc w:val="center"/>
            </w:pPr>
            <w:r>
              <w:rPr>
                <w:rFonts w:ascii="Times New Roman" w:hAnsi="Times New Roman" w:eastAsia="Times New Roman"/>
                <w:b w:val="0"/>
                <w:sz w:val="16"/>
              </w:rPr>
              <w:t>[0.0951, 0.1787]</w:t>
            </w:r>
          </w:p>
        </w:tc>
      </w:tr>
      <w:tr w14:paraId="55FF1D08">
        <w:trPr>
          <w:jc w:val="center"/>
        </w:trPr>
        <w:tc>
          <w:tcPr>
            <w:tcW w:w="1384" w:type="dxa"/>
            <w:tcMar>
              <w:top w:w="80" w:type="dxa"/>
              <w:left w:w="70" w:type="dxa"/>
              <w:bottom w:w="80" w:type="dxa"/>
              <w:right w:w="70" w:type="dxa"/>
            </w:tcMar>
            <w:vAlign w:val="center"/>
          </w:tcPr>
          <w:p w14:paraId="0F0042DB">
            <w:pPr>
              <w:jc w:val="left"/>
            </w:pPr>
            <w:r>
              <w:rPr>
                <w:rFonts w:ascii="Times New Roman" w:hAnsi="Times New Roman" w:eastAsia="Times New Roman"/>
                <w:b w:val="0"/>
                <w:sz w:val="16"/>
              </w:rPr>
              <w:t>flow_lag</w:t>
            </w:r>
          </w:p>
        </w:tc>
        <w:tc>
          <w:tcPr>
            <w:tcW w:w="1384" w:type="dxa"/>
            <w:tcMar>
              <w:top w:w="80" w:type="dxa"/>
              <w:left w:w="70" w:type="dxa"/>
              <w:bottom w:w="80" w:type="dxa"/>
              <w:right w:w="70" w:type="dxa"/>
            </w:tcMar>
            <w:vAlign w:val="center"/>
          </w:tcPr>
          <w:p w14:paraId="1E7B7069">
            <w:pPr>
              <w:jc w:val="center"/>
            </w:pPr>
            <w:r>
              <w:rPr>
                <w:rFonts w:ascii="Times New Roman" w:hAnsi="Times New Roman" w:eastAsia="Times New Roman"/>
                <w:b w:val="0"/>
                <w:sz w:val="16"/>
              </w:rPr>
              <w:t>-0.0923***</w:t>
            </w:r>
          </w:p>
        </w:tc>
        <w:tc>
          <w:tcPr>
            <w:tcW w:w="1384" w:type="dxa"/>
            <w:tcMar>
              <w:top w:w="80" w:type="dxa"/>
              <w:left w:w="70" w:type="dxa"/>
              <w:bottom w:w="80" w:type="dxa"/>
              <w:right w:w="70" w:type="dxa"/>
            </w:tcMar>
            <w:vAlign w:val="center"/>
          </w:tcPr>
          <w:p w14:paraId="11408218">
            <w:pPr>
              <w:jc w:val="center"/>
            </w:pPr>
            <w:r>
              <w:rPr>
                <w:rFonts w:ascii="Times New Roman" w:hAnsi="Times New Roman" w:eastAsia="Times New Roman"/>
                <w:b w:val="0"/>
                <w:sz w:val="16"/>
              </w:rPr>
              <w:t>0.0132</w:t>
            </w:r>
          </w:p>
        </w:tc>
        <w:tc>
          <w:tcPr>
            <w:tcW w:w="1384" w:type="dxa"/>
            <w:tcMar>
              <w:top w:w="80" w:type="dxa"/>
              <w:left w:w="70" w:type="dxa"/>
              <w:bottom w:w="80" w:type="dxa"/>
              <w:right w:w="70" w:type="dxa"/>
            </w:tcMar>
            <w:vAlign w:val="center"/>
          </w:tcPr>
          <w:p w14:paraId="576691B3">
            <w:pPr>
              <w:jc w:val="center"/>
            </w:pPr>
            <w:r>
              <w:rPr>
                <w:rFonts w:ascii="Times New Roman" w:hAnsi="Times New Roman" w:eastAsia="Times New Roman"/>
                <w:b w:val="0"/>
                <w:sz w:val="16"/>
              </w:rPr>
              <w:t>-6.9921</w:t>
            </w:r>
          </w:p>
        </w:tc>
        <w:tc>
          <w:tcPr>
            <w:tcW w:w="1384" w:type="dxa"/>
            <w:tcMar>
              <w:top w:w="80" w:type="dxa"/>
              <w:left w:w="70" w:type="dxa"/>
              <w:bottom w:w="80" w:type="dxa"/>
              <w:right w:w="70" w:type="dxa"/>
            </w:tcMar>
            <w:vAlign w:val="center"/>
          </w:tcPr>
          <w:p w14:paraId="6C665598">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2E78A48F">
            <w:pPr>
              <w:jc w:val="center"/>
            </w:pPr>
            <w:r>
              <w:rPr>
                <w:rFonts w:ascii="Times New Roman" w:hAnsi="Times New Roman" w:eastAsia="Times New Roman"/>
                <w:b w:val="0"/>
                <w:sz w:val="16"/>
              </w:rPr>
              <w:t>[-0.1182, -0.0665]</w:t>
            </w:r>
          </w:p>
        </w:tc>
      </w:tr>
      <w:tr w14:paraId="1F009F57">
        <w:trPr>
          <w:jc w:val="center"/>
        </w:trPr>
        <w:tc>
          <w:tcPr>
            <w:tcW w:w="1384" w:type="dxa"/>
            <w:tcMar>
              <w:top w:w="80" w:type="dxa"/>
              <w:left w:w="70" w:type="dxa"/>
              <w:bottom w:w="80" w:type="dxa"/>
              <w:right w:w="70" w:type="dxa"/>
            </w:tcMar>
            <w:vAlign w:val="center"/>
          </w:tcPr>
          <w:p w14:paraId="59A650CC">
            <w:pPr>
              <w:jc w:val="left"/>
            </w:pPr>
            <w:r>
              <w:rPr>
                <w:rFonts w:ascii="Times New Roman" w:hAnsi="Times New Roman" w:eastAsia="Times New Roman"/>
                <w:b/>
                <w:sz w:val="16"/>
              </w:rPr>
              <w:t>Observations</w:t>
            </w:r>
          </w:p>
        </w:tc>
        <w:tc>
          <w:tcPr>
            <w:tcW w:w="1384" w:type="dxa"/>
            <w:tcMar>
              <w:top w:w="80" w:type="dxa"/>
              <w:left w:w="70" w:type="dxa"/>
              <w:bottom w:w="80" w:type="dxa"/>
              <w:right w:w="70" w:type="dxa"/>
            </w:tcMar>
            <w:vAlign w:val="center"/>
          </w:tcPr>
          <w:p w14:paraId="3EF106DD">
            <w:pPr>
              <w:jc w:val="center"/>
            </w:pPr>
            <w:r>
              <w:rPr>
                <w:rFonts w:ascii="Times New Roman" w:hAnsi="Times New Roman" w:eastAsia="Times New Roman"/>
                <w:b w:val="0"/>
                <w:sz w:val="16"/>
              </w:rPr>
              <w:t>81,262</w:t>
            </w:r>
          </w:p>
        </w:tc>
        <w:tc>
          <w:tcPr>
            <w:tcW w:w="1384" w:type="dxa"/>
            <w:tcMar>
              <w:top w:w="80" w:type="dxa"/>
              <w:left w:w="70" w:type="dxa"/>
              <w:bottom w:w="80" w:type="dxa"/>
              <w:right w:w="70" w:type="dxa"/>
            </w:tcMar>
            <w:vAlign w:val="center"/>
          </w:tcPr>
          <w:p w14:paraId="2FD11312">
            <w:pPr>
              <w:jc w:val="center"/>
            </w:pPr>
          </w:p>
        </w:tc>
        <w:tc>
          <w:tcPr>
            <w:tcW w:w="1384" w:type="dxa"/>
            <w:tcMar>
              <w:top w:w="80" w:type="dxa"/>
              <w:left w:w="70" w:type="dxa"/>
              <w:bottom w:w="80" w:type="dxa"/>
              <w:right w:w="70" w:type="dxa"/>
            </w:tcMar>
            <w:vAlign w:val="center"/>
          </w:tcPr>
          <w:p w14:paraId="69C118A3">
            <w:pPr>
              <w:jc w:val="center"/>
            </w:pPr>
          </w:p>
        </w:tc>
        <w:tc>
          <w:tcPr>
            <w:tcW w:w="1384" w:type="dxa"/>
            <w:tcMar>
              <w:top w:w="80" w:type="dxa"/>
              <w:left w:w="70" w:type="dxa"/>
              <w:bottom w:w="80" w:type="dxa"/>
              <w:right w:w="70" w:type="dxa"/>
            </w:tcMar>
            <w:vAlign w:val="center"/>
          </w:tcPr>
          <w:p w14:paraId="729235FF">
            <w:pPr>
              <w:jc w:val="center"/>
            </w:pPr>
          </w:p>
        </w:tc>
        <w:tc>
          <w:tcPr>
            <w:tcW w:w="1384" w:type="dxa"/>
            <w:tcMar>
              <w:top w:w="80" w:type="dxa"/>
              <w:left w:w="70" w:type="dxa"/>
              <w:bottom w:w="80" w:type="dxa"/>
              <w:right w:w="70" w:type="dxa"/>
            </w:tcMar>
            <w:vAlign w:val="center"/>
          </w:tcPr>
          <w:p w14:paraId="69A6D33F">
            <w:pPr>
              <w:jc w:val="center"/>
            </w:pPr>
          </w:p>
        </w:tc>
      </w:tr>
      <w:tr w14:paraId="4A2D7F17">
        <w:trPr>
          <w:jc w:val="center"/>
        </w:trPr>
        <w:tc>
          <w:tcPr>
            <w:tcW w:w="1384" w:type="dxa"/>
            <w:tcMar>
              <w:top w:w="80" w:type="dxa"/>
              <w:left w:w="70" w:type="dxa"/>
              <w:bottom w:w="80" w:type="dxa"/>
              <w:right w:w="70" w:type="dxa"/>
            </w:tcMar>
            <w:vAlign w:val="center"/>
          </w:tcPr>
          <w:p w14:paraId="16703D87">
            <w:pPr>
              <w:jc w:val="left"/>
            </w:pPr>
            <w:r>
              <w:rPr>
                <w:rFonts w:ascii="Times New Roman" w:hAnsi="Times New Roman" w:eastAsia="Times New Roman"/>
                <w:b/>
                <w:sz w:val="16"/>
              </w:rPr>
              <w:t>R-squared</w:t>
            </w:r>
          </w:p>
        </w:tc>
        <w:tc>
          <w:tcPr>
            <w:tcW w:w="1384" w:type="dxa"/>
            <w:tcMar>
              <w:top w:w="80" w:type="dxa"/>
              <w:left w:w="70" w:type="dxa"/>
              <w:bottom w:w="80" w:type="dxa"/>
              <w:right w:w="70" w:type="dxa"/>
            </w:tcMar>
            <w:vAlign w:val="center"/>
          </w:tcPr>
          <w:p w14:paraId="4F2F90DB">
            <w:pPr>
              <w:jc w:val="center"/>
            </w:pPr>
            <w:r>
              <w:rPr>
                <w:rFonts w:ascii="Times New Roman" w:hAnsi="Times New Roman" w:eastAsia="Times New Roman"/>
                <w:b w:val="0"/>
                <w:sz w:val="16"/>
              </w:rPr>
              <w:t>0.0371</w:t>
            </w:r>
          </w:p>
        </w:tc>
        <w:tc>
          <w:tcPr>
            <w:tcW w:w="1384" w:type="dxa"/>
            <w:tcMar>
              <w:top w:w="80" w:type="dxa"/>
              <w:left w:w="70" w:type="dxa"/>
              <w:bottom w:w="80" w:type="dxa"/>
              <w:right w:w="70" w:type="dxa"/>
            </w:tcMar>
            <w:vAlign w:val="center"/>
          </w:tcPr>
          <w:p w14:paraId="40612938">
            <w:pPr>
              <w:jc w:val="center"/>
            </w:pPr>
          </w:p>
        </w:tc>
        <w:tc>
          <w:tcPr>
            <w:tcW w:w="1384" w:type="dxa"/>
            <w:tcMar>
              <w:top w:w="80" w:type="dxa"/>
              <w:left w:w="70" w:type="dxa"/>
              <w:bottom w:w="80" w:type="dxa"/>
              <w:right w:w="70" w:type="dxa"/>
            </w:tcMar>
            <w:vAlign w:val="center"/>
          </w:tcPr>
          <w:p w14:paraId="2B785907">
            <w:pPr>
              <w:jc w:val="center"/>
            </w:pPr>
          </w:p>
        </w:tc>
        <w:tc>
          <w:tcPr>
            <w:tcW w:w="1384" w:type="dxa"/>
            <w:tcMar>
              <w:top w:w="80" w:type="dxa"/>
              <w:left w:w="70" w:type="dxa"/>
              <w:bottom w:w="80" w:type="dxa"/>
              <w:right w:w="70" w:type="dxa"/>
            </w:tcMar>
            <w:vAlign w:val="center"/>
          </w:tcPr>
          <w:p w14:paraId="6AC049F3">
            <w:pPr>
              <w:jc w:val="center"/>
            </w:pPr>
          </w:p>
        </w:tc>
        <w:tc>
          <w:tcPr>
            <w:tcW w:w="1384" w:type="dxa"/>
            <w:tcMar>
              <w:top w:w="80" w:type="dxa"/>
              <w:left w:w="70" w:type="dxa"/>
              <w:bottom w:w="80" w:type="dxa"/>
              <w:right w:w="70" w:type="dxa"/>
            </w:tcMar>
            <w:vAlign w:val="center"/>
          </w:tcPr>
          <w:p w14:paraId="2B47ADC0">
            <w:pPr>
              <w:jc w:val="center"/>
            </w:pPr>
          </w:p>
        </w:tc>
      </w:tr>
      <w:tr w14:paraId="2B012E23">
        <w:trPr>
          <w:jc w:val="center"/>
        </w:trPr>
        <w:tc>
          <w:tcPr>
            <w:tcW w:w="1384" w:type="dxa"/>
            <w:tcMar>
              <w:top w:w="80" w:type="dxa"/>
              <w:left w:w="70" w:type="dxa"/>
              <w:bottom w:w="80" w:type="dxa"/>
              <w:right w:w="70" w:type="dxa"/>
            </w:tcMar>
            <w:vAlign w:val="center"/>
          </w:tcPr>
          <w:p w14:paraId="41331A43">
            <w:pPr>
              <w:jc w:val="left"/>
            </w:pPr>
            <w:r>
              <w:rPr>
                <w:rFonts w:ascii="Times New Roman" w:hAnsi="Times New Roman" w:eastAsia="Times New Roman"/>
                <w:b/>
                <w:sz w:val="16"/>
              </w:rPr>
              <w:t>Entities</w:t>
            </w:r>
          </w:p>
        </w:tc>
        <w:tc>
          <w:tcPr>
            <w:tcW w:w="1384" w:type="dxa"/>
            <w:tcMar>
              <w:top w:w="80" w:type="dxa"/>
              <w:left w:w="70" w:type="dxa"/>
              <w:bottom w:w="80" w:type="dxa"/>
              <w:right w:w="70" w:type="dxa"/>
            </w:tcMar>
            <w:vAlign w:val="center"/>
          </w:tcPr>
          <w:p w14:paraId="1E922500">
            <w:pPr>
              <w:jc w:val="center"/>
            </w:pPr>
            <w:r>
              <w:rPr>
                <w:rFonts w:ascii="Times New Roman" w:hAnsi="Times New Roman" w:eastAsia="Times New Roman"/>
                <w:b w:val="0"/>
                <w:sz w:val="16"/>
              </w:rPr>
              <w:t>1,269</w:t>
            </w:r>
          </w:p>
        </w:tc>
        <w:tc>
          <w:tcPr>
            <w:tcW w:w="1384" w:type="dxa"/>
            <w:tcMar>
              <w:top w:w="80" w:type="dxa"/>
              <w:left w:w="70" w:type="dxa"/>
              <w:bottom w:w="80" w:type="dxa"/>
              <w:right w:w="70" w:type="dxa"/>
            </w:tcMar>
            <w:vAlign w:val="center"/>
          </w:tcPr>
          <w:p w14:paraId="6F847136">
            <w:pPr>
              <w:jc w:val="center"/>
            </w:pPr>
          </w:p>
        </w:tc>
        <w:tc>
          <w:tcPr>
            <w:tcW w:w="1384" w:type="dxa"/>
            <w:tcMar>
              <w:top w:w="80" w:type="dxa"/>
              <w:left w:w="70" w:type="dxa"/>
              <w:bottom w:w="80" w:type="dxa"/>
              <w:right w:w="70" w:type="dxa"/>
            </w:tcMar>
            <w:vAlign w:val="center"/>
          </w:tcPr>
          <w:p w14:paraId="7DCF53FB">
            <w:pPr>
              <w:jc w:val="center"/>
            </w:pPr>
          </w:p>
        </w:tc>
        <w:tc>
          <w:tcPr>
            <w:tcW w:w="1384" w:type="dxa"/>
            <w:tcMar>
              <w:top w:w="80" w:type="dxa"/>
              <w:left w:w="70" w:type="dxa"/>
              <w:bottom w:w="80" w:type="dxa"/>
              <w:right w:w="70" w:type="dxa"/>
            </w:tcMar>
            <w:vAlign w:val="center"/>
          </w:tcPr>
          <w:p w14:paraId="3C2CC904">
            <w:pPr>
              <w:jc w:val="center"/>
            </w:pPr>
          </w:p>
        </w:tc>
        <w:tc>
          <w:tcPr>
            <w:tcW w:w="1384" w:type="dxa"/>
            <w:tcMar>
              <w:top w:w="80" w:type="dxa"/>
              <w:left w:w="70" w:type="dxa"/>
              <w:bottom w:w="80" w:type="dxa"/>
              <w:right w:w="70" w:type="dxa"/>
            </w:tcMar>
            <w:vAlign w:val="center"/>
          </w:tcPr>
          <w:p w14:paraId="5B66F21B">
            <w:pPr>
              <w:jc w:val="center"/>
            </w:pPr>
          </w:p>
        </w:tc>
      </w:tr>
      <w:tr w14:paraId="29544710">
        <w:trPr>
          <w:jc w:val="center"/>
        </w:trPr>
        <w:tc>
          <w:tcPr>
            <w:tcW w:w="1384" w:type="dxa"/>
            <w:tcMar>
              <w:top w:w="80" w:type="dxa"/>
              <w:left w:w="70" w:type="dxa"/>
              <w:bottom w:w="80" w:type="dxa"/>
              <w:right w:w="70" w:type="dxa"/>
            </w:tcMar>
            <w:vAlign w:val="center"/>
          </w:tcPr>
          <w:p w14:paraId="47A46289">
            <w:pPr>
              <w:jc w:val="left"/>
            </w:pPr>
            <w:r>
              <w:rPr>
                <w:rFonts w:ascii="Times New Roman" w:hAnsi="Times New Roman" w:eastAsia="Times New Roman"/>
                <w:b/>
                <w:sz w:val="16"/>
              </w:rPr>
              <w:t>Time periods</w:t>
            </w:r>
          </w:p>
        </w:tc>
        <w:tc>
          <w:tcPr>
            <w:tcW w:w="1384" w:type="dxa"/>
            <w:tcMar>
              <w:top w:w="80" w:type="dxa"/>
              <w:left w:w="70" w:type="dxa"/>
              <w:bottom w:w="80" w:type="dxa"/>
              <w:right w:w="70" w:type="dxa"/>
            </w:tcMar>
            <w:vAlign w:val="center"/>
          </w:tcPr>
          <w:p w14:paraId="1286A739">
            <w:pPr>
              <w:jc w:val="center"/>
            </w:pPr>
            <w:r>
              <w:rPr>
                <w:rFonts w:ascii="Times New Roman" w:hAnsi="Times New Roman" w:eastAsia="Times New Roman"/>
                <w:b w:val="0"/>
                <w:sz w:val="16"/>
              </w:rPr>
              <w:t>70</w:t>
            </w:r>
          </w:p>
        </w:tc>
        <w:tc>
          <w:tcPr>
            <w:tcW w:w="1384" w:type="dxa"/>
            <w:tcMar>
              <w:top w:w="80" w:type="dxa"/>
              <w:left w:w="70" w:type="dxa"/>
              <w:bottom w:w="80" w:type="dxa"/>
              <w:right w:w="70" w:type="dxa"/>
            </w:tcMar>
            <w:vAlign w:val="center"/>
          </w:tcPr>
          <w:p w14:paraId="3872A659">
            <w:pPr>
              <w:jc w:val="center"/>
            </w:pPr>
          </w:p>
        </w:tc>
        <w:tc>
          <w:tcPr>
            <w:tcW w:w="1384" w:type="dxa"/>
            <w:tcMar>
              <w:top w:w="80" w:type="dxa"/>
              <w:left w:w="70" w:type="dxa"/>
              <w:bottom w:w="80" w:type="dxa"/>
              <w:right w:w="70" w:type="dxa"/>
            </w:tcMar>
            <w:vAlign w:val="center"/>
          </w:tcPr>
          <w:p w14:paraId="757F77C1">
            <w:pPr>
              <w:jc w:val="center"/>
            </w:pPr>
          </w:p>
        </w:tc>
        <w:tc>
          <w:tcPr>
            <w:tcW w:w="1384" w:type="dxa"/>
            <w:tcMar>
              <w:top w:w="80" w:type="dxa"/>
              <w:left w:w="70" w:type="dxa"/>
              <w:bottom w:w="80" w:type="dxa"/>
              <w:right w:w="70" w:type="dxa"/>
            </w:tcMar>
            <w:vAlign w:val="center"/>
          </w:tcPr>
          <w:p w14:paraId="72FB4EA5">
            <w:pPr>
              <w:jc w:val="center"/>
            </w:pPr>
          </w:p>
        </w:tc>
        <w:tc>
          <w:tcPr>
            <w:tcW w:w="1384" w:type="dxa"/>
            <w:tcMar>
              <w:top w:w="80" w:type="dxa"/>
              <w:left w:w="70" w:type="dxa"/>
              <w:bottom w:w="80" w:type="dxa"/>
              <w:right w:w="70" w:type="dxa"/>
            </w:tcMar>
            <w:vAlign w:val="center"/>
          </w:tcPr>
          <w:p w14:paraId="39BD357B">
            <w:pPr>
              <w:jc w:val="center"/>
            </w:pPr>
          </w:p>
        </w:tc>
      </w:tr>
    </w:tbl>
    <w:p w14:paraId="639E7D84">
      <w:pPr>
        <w:spacing w:before="40" w:after="160"/>
      </w:pPr>
      <w:r>
        <w:rPr>
          <w:rFonts w:ascii="Times New Roman" w:hAnsi="Times New Roman" w:eastAsia="Times New Roman"/>
          <w:i/>
          <w:sz w:val="19"/>
        </w:rPr>
        <w:t>Notes: Values are transcribed from h1_baseline_result.txt and h1_controls_result.txt. Standard errors are clustered at the fund level. Both panels include entity and time fixed effects. Additional fund-only or pooled specifications are not reported because they are not present in the saved notebook/results outputs. ***, **, and * denote p &lt; 0.01, p &lt; 0.05, and p &lt; 0.10.</w:t>
      </w:r>
    </w:p>
    <w:p w14:paraId="48B88114">
      <w:pPr>
        <w:spacing w:after="120" w:line="276" w:lineRule="auto"/>
      </w:pPr>
      <w:r>
        <w:rPr>
          <w:rFonts w:ascii="Times New Roman" w:hAnsi="Times New Roman" w:eastAsia="Times New Roman"/>
          <w:b w:val="0"/>
          <w:i w:val="0"/>
          <w:sz w:val="24"/>
        </w:rPr>
        <w:t>The baseline estimates indicate that funds with greater pre-shock AI exposure receive stronger post-ChatGPT inflows. Rather than treating the coefficient only as a statistical object, the result should be interpreted as evidence of attention-induced demand for AI exposure. The controlled estimate of 0.0057 implies that a one-standard-deviation increase in AI exposure is associated with approximately 0.57 percentage points higher monthly net inflows after the shock.</w:t>
      </w:r>
    </w:p>
    <w:p>
      <w:pPr>
        <w:spacing w:after="120" w:line="276" w:lineRule="auto"/>
      </w:pPr>
      <w:r>
        <w:rPr>
          <w:rFonts w:ascii="Times New Roman" w:hAnsi="Times New Roman" w:eastAsia="Times New Roman"/>
          <w:b w:val="0"/>
          <w:i w:val="0"/>
          <w:sz w:val="24"/>
        </w:rPr>
        <w:t>This magnitude is meaningful in economic terms. Using the sample mean lagged total net assets of approximately 871.7 million dollars, a 0.57 percentage point monthly flow effect corresponds to roughly 5.0 million dollars of additional monthly net inflows for an average-sized fund. For a fund with 1 billion dollars in assets under management, the same estimate implies about 5.7 million dollars of additional monthly investor capital. The effect is therefore not only statistically significant; it represents a nontrivial movement of capital across delegated investment vehicles.</w:t>
      </w:r>
    </w:p>
    <w:p w14:paraId="3BE501D2">
      <w:pPr>
        <w:spacing w:after="120" w:line="276" w:lineRule="auto"/>
      </w:pPr>
      <w:r>
        <w:rPr>
          <w:rFonts w:ascii="Times New Roman" w:hAnsi="Times New Roman" w:eastAsia="Times New Roman"/>
          <w:b w:val="0"/>
          <w:i w:val="0"/>
          <w:sz w:val="24"/>
        </w:rPr>
        <w:t>The finance interpretation is that ChatGPT shifted investor demand toward funds already positioned to provide AI exposure. This is consistent with thematic reallocation rather than a purely mechanical change in fund assets. In delegated asset management markets, even moderate changes in monthly percentage flows can accumulate into economically important differences in asset growth, portfolio scale, and managerial incentives.</w:t>
      </w:r>
    </w:p>
    <w:p w14:paraId="25BB3E1A">
      <w:pPr>
        <w:spacing w:before="160" w:after="120"/>
      </w:pPr>
      <w:r>
        <w:rPr>
          <w:rFonts w:ascii="Times New Roman" w:hAnsi="Times New Roman" w:eastAsia="Times New Roman"/>
          <w:b/>
          <w:sz w:val="28"/>
        </w:rPr>
        <w:t>4.3 Event Study Analysis</w:t>
      </w:r>
    </w:p>
    <w:p w14:paraId="2967B990">
      <w:pPr>
        <w:spacing w:after="120" w:line="276" w:lineRule="auto"/>
      </w:pPr>
      <w:r>
        <w:rPr>
          <w:rFonts w:ascii="Times New Roman" w:hAnsi="Times New Roman" w:eastAsia="Times New Roman"/>
          <w:sz w:val="24"/>
        </w:rPr>
        <w:t>The event-study specification examines whether the baseline effect emerges around the ChatGPT shock and whether pre-treatment differences are consistent with the identifying assumption:</w:t>
      </w:r>
    </w:p>
    <w:p w14:paraId="18CBA067">
      <w:pPr>
        <w:spacing w:before="80" w:after="1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sz w:val="24"/>
        </w:rPr>
        <w:t xml:space="preserve"> = </w:t>
      </w:r>
      <w:r>
        <w:rPr>
          <w:rFonts w:ascii="Times New Roman" w:hAnsi="Times New Roman" w:eastAsia="Times New Roman"/>
          <w:i/>
          <w:sz w:val="24"/>
        </w:rPr>
        <w:t>α + Σ</w:t>
      </w:r>
      <w:r>
        <w:rPr>
          <w:rFonts w:ascii="Times New Roman" w:hAnsi="Times New Roman" w:eastAsia="Times New Roman"/>
          <w:i/>
          <w:sz w:val="24"/>
          <w:vertAlign w:val="subscript"/>
        </w:rPr>
        <w:t>k</w:t>
      </w:r>
      <w:r>
        <w:rPr>
          <w:rFonts w:ascii="Times New Roman" w:hAnsi="Times New Roman" w:eastAsia="Times New Roman"/>
          <w:i/>
          <w:sz w:val="24"/>
        </w:rPr>
        <w:t>β</w:t>
      </w:r>
      <w:r>
        <w:rPr>
          <w:rFonts w:ascii="Times New Roman" w:hAnsi="Times New Roman" w:eastAsia="Times New Roman"/>
          <w:i/>
          <w:sz w:val="24"/>
          <w:vertAlign w:val="subscript"/>
        </w:rPr>
        <w:t>k</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EventTime</w:t>
      </w:r>
      <w:r>
        <w:rPr>
          <w:rFonts w:ascii="Times New Roman" w:hAnsi="Times New Roman" w:eastAsia="Times New Roman"/>
          <w:i/>
          <w:sz w:val="24"/>
          <w:vertAlign w:val="subscript"/>
        </w:rPr>
        <w:t>k</w:t>
      </w:r>
      <w:r>
        <w:rPr>
          <w:rFonts w:ascii="Times New Roman" w:hAnsi="Times New Roman" w:eastAsia="Times New Roman"/>
          <w:i/>
          <w:sz w:val="24"/>
        </w:rPr>
        <w:t>)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sz w:val="24"/>
        </w:rPr>
        <w:t xml:space="preserve">    （23）</w:t>
      </w:r>
    </w:p>
    <w:p w14:paraId="1D087264">
      <w:pPr>
        <w:spacing w:before="160" w:after="80"/>
        <w:jc w:val="center"/>
      </w:pPr>
      <w:r>
        <w:rPr>
          <w:rFonts w:ascii="Times New Roman" w:hAnsi="Times New Roman" w:eastAsia="Times New Roman"/>
          <w:b/>
          <w:sz w:val="22"/>
        </w:rPr>
        <w:t>Figure 2. Event Study Estimates</w:t>
      </w:r>
    </w:p>
    <w:p w14:paraId="368614A6">
      <w:pPr>
        <w:jc w:val="center"/>
      </w:pPr>
      <w:r>
        <w:drawing>
          <wp:inline distT="0" distB="0" distL="114300" distR="114300">
            <wp:extent cx="5303520" cy="3081655"/>
            <wp:effectExtent l="0" t="0" r="5080" b="171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303520" cy="3081775"/>
                    </a:xfrm>
                    <a:prstGeom prst="rect">
                      <a:avLst/>
                    </a:prstGeom>
                  </pic:spPr>
                </pic:pic>
              </a:graphicData>
            </a:graphic>
          </wp:inline>
        </w:drawing>
      </w:r>
    </w:p>
    <w:p w14:paraId="2B0B06EE">
      <w:pPr>
        <w:spacing w:before="40" w:after="160"/>
      </w:pPr>
      <w:r>
        <w:rPr>
          <w:rFonts w:ascii="Times New Roman" w:hAnsi="Times New Roman" w:eastAsia="Times New Roman"/>
          <w:i/>
          <w:sz w:val="19"/>
        </w:rPr>
        <w:t>Source: author’s visualization of the event-study estimates from the H1/H2 empirical output.</w:t>
      </w:r>
    </w:p>
    <w:p w14:paraId="3FEB9878">
      <w:pPr>
        <w:spacing w:after="120" w:line="276" w:lineRule="auto"/>
      </w:pPr>
      <w:r>
        <w:rPr>
          <w:rFonts w:ascii="Times New Roman" w:hAnsi="Times New Roman" w:eastAsia="Times New Roman"/>
          <w:sz w:val="24"/>
        </w:rPr>
        <w:t>Figure 2 plots the event-time coefficients and 95% confidence intervals. The saved event-study regression uses 43,508 observations and includes fund and month fixed effects. The pre-treatment estimates are generally close to zero and statistically imprecise. Although one isolated pre-treatment coefficient, event month -2, is statistically significant at the 5% level, the overall pre-treatment pattern remains relatively stable rather than displaying a persistent upward or downward trend.</w:t>
      </w:r>
    </w:p>
    <w:p w14:paraId="1F16A8F1">
      <w:pPr>
        <w:spacing w:after="120" w:line="276" w:lineRule="auto"/>
      </w:pPr>
      <w:r>
        <w:rPr>
          <w:rFonts w:ascii="Times New Roman" w:hAnsi="Times New Roman" w:eastAsia="Times New Roman"/>
          <w:sz w:val="24"/>
        </w:rPr>
        <w:t>After the release of ChatGPT, the point estimates become more favorable in several months, but the dynamic estimates are not uniformly significant. This pattern suggests that the baseline DiD result should be interpreted as evidence of an average post-shock reallocation effect rather than as a sharply timed monthly response in every post-event period. The event-study evidence therefore provides cautious support for the identification strategy: it does not indicate a systematic pre-trend, but the presence of one significant pre-treatment coefficient means that the causal interpretation should be made with appropriate care.</w:t>
      </w:r>
    </w:p>
    <w:p w14:paraId="2C808FB3">
      <w:pPr>
        <w:spacing w:before="160" w:after="120"/>
      </w:pPr>
      <w:r>
        <w:rPr>
          <w:rFonts w:ascii="Times New Roman" w:hAnsi="Times New Roman" w:eastAsia="Times New Roman"/>
          <w:b/>
          <w:sz w:val="28"/>
        </w:rPr>
        <w:t>4.4 Heterogeneity Analysis</w:t>
      </w:r>
    </w:p>
    <w:p w14:paraId="233FC8C4">
      <w:pPr>
        <w:spacing w:after="120" w:line="276" w:lineRule="auto"/>
      </w:pPr>
      <w:r>
        <w:rPr>
          <w:rFonts w:ascii="Times New Roman" w:hAnsi="Times New Roman" w:eastAsia="Times New Roman"/>
          <w:sz w:val="24"/>
        </w:rPr>
        <w:t xml:space="preserve">Table 3 examines whether investor responses differ by prior fund performance. </w:t>
      </w:r>
      <w:r>
        <w:rPr>
          <w:rFonts w:ascii="Times New Roman" w:hAnsi="Times New Roman" w:eastAsia="Times New Roman"/>
          <w:b/>
          <w:sz w:val="24"/>
        </w:rPr>
        <w:t>GoodFund</w:t>
      </w:r>
      <w:r>
        <w:rPr>
          <w:rFonts w:ascii="Times New Roman" w:hAnsi="Times New Roman" w:eastAsia="Times New Roman"/>
          <w:sz w:val="24"/>
        </w:rPr>
        <w:t xml:space="preserve"> is defined as an indicator equal to one when a fund's pre-shock Fama-French three-factor </w:t>
      </w:r>
      <w:r>
        <w:rPr>
          <w:rFonts w:ascii="Times New Roman" w:hAnsi="Times New Roman" w:eastAsia="Times New Roman"/>
          <w:b/>
          <w:sz w:val="24"/>
        </w:rPr>
        <w:t>alpha</w:t>
      </w:r>
      <w:r>
        <w:rPr>
          <w:rFonts w:ascii="Times New Roman" w:hAnsi="Times New Roman" w:eastAsia="Times New Roman"/>
          <w:sz w:val="24"/>
        </w:rPr>
        <w:t xml:space="preserve"> is above the sample median of -0.002811. This median split produces 615 high-</w:t>
      </w:r>
      <w:r>
        <w:rPr>
          <w:rFonts w:ascii="Times New Roman" w:hAnsi="Times New Roman" w:eastAsia="Times New Roman"/>
          <w:b/>
          <w:sz w:val="24"/>
        </w:rPr>
        <w:t>alpha</w:t>
      </w:r>
      <w:r>
        <w:rPr>
          <w:rFonts w:ascii="Times New Roman" w:hAnsi="Times New Roman" w:eastAsia="Times New Roman"/>
          <w:sz w:val="24"/>
        </w:rPr>
        <w:t xml:space="preserve"> funds and 616 low-</w:t>
      </w:r>
      <w:r>
        <w:rPr>
          <w:rFonts w:ascii="Times New Roman" w:hAnsi="Times New Roman" w:eastAsia="Times New Roman"/>
          <w:b/>
          <w:sz w:val="24"/>
        </w:rPr>
        <w:t>alpha</w:t>
      </w:r>
      <w:r>
        <w:rPr>
          <w:rFonts w:ascii="Times New Roman" w:hAnsi="Times New Roman" w:eastAsia="Times New Roman"/>
          <w:sz w:val="24"/>
        </w:rPr>
        <w:t xml:space="preserve"> funds among the 1,231 funds with valid </w:t>
      </w:r>
      <w:r>
        <w:rPr>
          <w:rFonts w:ascii="Times New Roman" w:hAnsi="Times New Roman" w:eastAsia="Times New Roman"/>
          <w:b/>
          <w:sz w:val="24"/>
        </w:rPr>
        <w:t>alpha</w:t>
      </w:r>
      <w:r>
        <w:rPr>
          <w:rFonts w:ascii="Times New Roman" w:hAnsi="Times New Roman" w:eastAsia="Times New Roman"/>
          <w:sz w:val="24"/>
        </w:rPr>
        <w:t xml:space="preserve"> estimates.</w:t>
      </w:r>
    </w:p>
    <w:p w14:paraId="2B8E90A0">
      <w:pPr>
        <w:spacing w:before="80" w:after="1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sz w:val="24"/>
        </w:rPr>
        <w:t xml:space="preserve"> = </w:t>
      </w:r>
      <w:r>
        <w:rPr>
          <w:rFonts w:ascii="Times New Roman" w:hAnsi="Times New Roman" w:eastAsia="Times New Roman"/>
          <w:i/>
          <w:sz w:val="24"/>
        </w:rPr>
        <w:t>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 β</w:t>
      </w:r>
      <w:r>
        <w:rPr>
          <w:rFonts w:ascii="Times New Roman" w:hAnsi="Times New Roman" w:eastAsia="Times New Roman"/>
          <w:i/>
          <w:sz w:val="24"/>
          <w:vertAlign w:val="subscript"/>
        </w:rPr>
        <w:t>2</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sz w:val="24"/>
        </w:rPr>
        <w:t xml:space="preserve"> × </w:t>
      </w:r>
      <w:r>
        <w:rPr>
          <w:rFonts w:ascii="Times New Roman" w:hAnsi="Times New Roman" w:eastAsia="Times New Roman"/>
          <w:i/>
          <w:sz w:val="24"/>
        </w:rPr>
        <w:t>GoodFund</w:t>
      </w:r>
      <w:r>
        <w:rPr>
          <w:rFonts w:ascii="Times New Roman" w:hAnsi="Times New Roman" w:eastAsia="Times New Roman"/>
          <w:i/>
          <w:sz w:val="24"/>
          <w:vertAlign w:val="subscript"/>
        </w:rPr>
        <w:t>i</w:t>
      </w:r>
      <w:r>
        <w:rPr>
          <w:rFonts w:ascii="Times New Roman" w:hAnsi="Times New Roman" w:eastAsia="Times New Roman"/>
          <w:i/>
          <w:sz w:val="24"/>
        </w:rPr>
        <w:t>) + β</w:t>
      </w:r>
      <w:r>
        <w:rPr>
          <w:rFonts w:ascii="Times New Roman" w:hAnsi="Times New Roman" w:eastAsia="Times New Roman"/>
          <w:i/>
          <w:sz w:val="24"/>
          <w:vertAlign w:val="subscript"/>
        </w:rPr>
        <w:t>3</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sz w:val="24"/>
        </w:rPr>
        <w:t xml:space="preserve"> × </w:t>
      </w:r>
      <w:r>
        <w:rPr>
          <w:rFonts w:ascii="Times New Roman" w:hAnsi="Times New Roman" w:eastAsia="Times New Roman"/>
          <w:i/>
          <w:sz w:val="24"/>
        </w:rPr>
        <w:t>GoodFund</w:t>
      </w:r>
      <w:r>
        <w:rPr>
          <w:rFonts w:ascii="Times New Roman" w:hAnsi="Times New Roman" w:eastAsia="Times New Roman"/>
          <w:i/>
          <w:sz w:val="24"/>
          <w:vertAlign w:val="subscript"/>
        </w:rPr>
        <w:t>i</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sz w:val="24"/>
        </w:rPr>
        <w:t xml:space="preserve">    （24）</w:t>
      </w:r>
    </w:p>
    <w:p w14:paraId="18C041D2">
      <w:pPr>
        <w:spacing w:before="160" w:after="80"/>
        <w:jc w:val="center"/>
      </w:pPr>
      <w:r>
        <w:rPr>
          <w:rFonts w:ascii="Times New Roman" w:hAnsi="Times New Roman" w:eastAsia="Times New Roman"/>
          <w:b/>
          <w:sz w:val="22"/>
        </w:rPr>
        <w:t>Table 3. Heterogeneity by Prior Performance</w:t>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461B5F31">
        <w:trPr>
          <w:jc w:val="center"/>
        </w:trPr>
        <w:tc>
          <w:tcPr>
            <w:tcW w:w="1384" w:type="dxa"/>
            <w:shd w:val="clear" w:color="auto" w:fill="D9EAF7"/>
            <w:tcMar>
              <w:top w:w="80" w:type="dxa"/>
              <w:left w:w="70" w:type="dxa"/>
              <w:bottom w:w="80" w:type="dxa"/>
              <w:right w:w="70" w:type="dxa"/>
            </w:tcMar>
            <w:vAlign w:val="center"/>
          </w:tcPr>
          <w:p w14:paraId="2DCBDA51">
            <w:pPr>
              <w:jc w:val="center"/>
            </w:pPr>
            <w:r>
              <w:rPr>
                <w:rFonts w:ascii="Times New Roman" w:hAnsi="Times New Roman" w:eastAsia="Times New Roman"/>
                <w:b/>
                <w:sz w:val="16"/>
              </w:rPr>
              <w:t>Parameter</w:t>
            </w:r>
          </w:p>
        </w:tc>
        <w:tc>
          <w:tcPr>
            <w:tcW w:w="1384" w:type="dxa"/>
            <w:shd w:val="clear" w:color="auto" w:fill="D9EAF7"/>
            <w:tcMar>
              <w:top w:w="80" w:type="dxa"/>
              <w:left w:w="70" w:type="dxa"/>
              <w:bottom w:w="80" w:type="dxa"/>
              <w:right w:w="70" w:type="dxa"/>
            </w:tcMar>
            <w:vAlign w:val="center"/>
          </w:tcPr>
          <w:p w14:paraId="5F29560C">
            <w:pPr>
              <w:jc w:val="center"/>
            </w:pPr>
            <w:r>
              <w:rPr>
                <w:rFonts w:ascii="Times New Roman" w:hAnsi="Times New Roman" w:eastAsia="Times New Roman"/>
                <w:b/>
                <w:sz w:val="16"/>
              </w:rPr>
              <w:t>Coefficient</w:t>
            </w:r>
          </w:p>
        </w:tc>
        <w:tc>
          <w:tcPr>
            <w:tcW w:w="1384" w:type="dxa"/>
            <w:shd w:val="clear" w:color="auto" w:fill="D9EAF7"/>
            <w:tcMar>
              <w:top w:w="80" w:type="dxa"/>
              <w:left w:w="70" w:type="dxa"/>
              <w:bottom w:w="80" w:type="dxa"/>
              <w:right w:w="70" w:type="dxa"/>
            </w:tcMar>
            <w:vAlign w:val="center"/>
          </w:tcPr>
          <w:p w14:paraId="05970A5F">
            <w:pPr>
              <w:jc w:val="center"/>
            </w:pPr>
            <w:r>
              <w:rPr>
                <w:rFonts w:ascii="Times New Roman" w:hAnsi="Times New Roman" w:eastAsia="Times New Roman"/>
                <w:b/>
                <w:sz w:val="16"/>
              </w:rPr>
              <w:t>Std. Err.</w:t>
            </w:r>
          </w:p>
        </w:tc>
        <w:tc>
          <w:tcPr>
            <w:tcW w:w="1384" w:type="dxa"/>
            <w:shd w:val="clear" w:color="auto" w:fill="D9EAF7"/>
            <w:tcMar>
              <w:top w:w="80" w:type="dxa"/>
              <w:left w:w="70" w:type="dxa"/>
              <w:bottom w:w="80" w:type="dxa"/>
              <w:right w:w="70" w:type="dxa"/>
            </w:tcMar>
            <w:vAlign w:val="center"/>
          </w:tcPr>
          <w:p w14:paraId="2FA2DA14">
            <w:pPr>
              <w:jc w:val="center"/>
            </w:pPr>
            <w:r>
              <w:rPr>
                <w:rFonts w:ascii="Times New Roman" w:hAnsi="Times New Roman" w:eastAsia="Times New Roman"/>
                <w:b/>
                <w:sz w:val="16"/>
              </w:rPr>
              <w:t>T-stat</w:t>
            </w:r>
          </w:p>
        </w:tc>
        <w:tc>
          <w:tcPr>
            <w:tcW w:w="1384" w:type="dxa"/>
            <w:shd w:val="clear" w:color="auto" w:fill="D9EAF7"/>
            <w:tcMar>
              <w:top w:w="80" w:type="dxa"/>
              <w:left w:w="70" w:type="dxa"/>
              <w:bottom w:w="80" w:type="dxa"/>
              <w:right w:w="70" w:type="dxa"/>
            </w:tcMar>
            <w:vAlign w:val="center"/>
          </w:tcPr>
          <w:p w14:paraId="14764909">
            <w:pPr>
              <w:jc w:val="center"/>
            </w:pPr>
            <w:r>
              <w:rPr>
                <w:rFonts w:ascii="Times New Roman" w:hAnsi="Times New Roman" w:eastAsia="Times New Roman"/>
                <w:b/>
                <w:sz w:val="16"/>
              </w:rPr>
              <w:t>P-value</w:t>
            </w:r>
          </w:p>
        </w:tc>
        <w:tc>
          <w:tcPr>
            <w:tcW w:w="1384" w:type="dxa"/>
            <w:shd w:val="clear" w:color="auto" w:fill="D9EAF7"/>
            <w:tcMar>
              <w:top w:w="80" w:type="dxa"/>
              <w:left w:w="70" w:type="dxa"/>
              <w:bottom w:w="80" w:type="dxa"/>
              <w:right w:w="70" w:type="dxa"/>
            </w:tcMar>
            <w:vAlign w:val="center"/>
          </w:tcPr>
          <w:p w14:paraId="79966236">
            <w:pPr>
              <w:jc w:val="center"/>
            </w:pPr>
            <w:r>
              <w:rPr>
                <w:rFonts w:ascii="Times New Roman" w:hAnsi="Times New Roman" w:eastAsia="Times New Roman"/>
                <w:b/>
                <w:sz w:val="16"/>
              </w:rPr>
              <w:t>95% CI</w:t>
            </w:r>
          </w:p>
        </w:tc>
      </w:tr>
      <w:tr w14:paraId="108CE0B4">
        <w:trPr>
          <w:jc w:val="center"/>
        </w:trPr>
        <w:tc>
          <w:tcPr>
            <w:tcW w:w="1384" w:type="dxa"/>
            <w:tcMar>
              <w:top w:w="80" w:type="dxa"/>
              <w:left w:w="70" w:type="dxa"/>
              <w:bottom w:w="80" w:type="dxa"/>
              <w:right w:w="70" w:type="dxa"/>
            </w:tcMar>
            <w:vAlign w:val="center"/>
          </w:tcPr>
          <w:p w14:paraId="7E3A7A1F">
            <w:pPr>
              <w:jc w:val="left"/>
            </w:pPr>
            <w:r>
              <w:rPr>
                <w:rFonts w:ascii="Times New Roman" w:hAnsi="Times New Roman" w:eastAsia="Times New Roman"/>
                <w:b w:val="0"/>
                <w:sz w:val="16"/>
              </w:rPr>
              <w:t>AI_post</w:t>
            </w:r>
          </w:p>
        </w:tc>
        <w:tc>
          <w:tcPr>
            <w:tcW w:w="1384" w:type="dxa"/>
            <w:tcMar>
              <w:top w:w="80" w:type="dxa"/>
              <w:left w:w="70" w:type="dxa"/>
              <w:bottom w:w="80" w:type="dxa"/>
              <w:right w:w="70" w:type="dxa"/>
            </w:tcMar>
            <w:vAlign w:val="center"/>
          </w:tcPr>
          <w:p w14:paraId="6F2CA937">
            <w:pPr>
              <w:jc w:val="center"/>
            </w:pPr>
            <w:r>
              <w:rPr>
                <w:rFonts w:ascii="Times New Roman" w:hAnsi="Times New Roman" w:eastAsia="Times New Roman"/>
                <w:b w:val="0"/>
                <w:sz w:val="16"/>
              </w:rPr>
              <w:t>0.0023*</w:t>
            </w:r>
          </w:p>
        </w:tc>
        <w:tc>
          <w:tcPr>
            <w:tcW w:w="1384" w:type="dxa"/>
            <w:tcMar>
              <w:top w:w="80" w:type="dxa"/>
              <w:left w:w="70" w:type="dxa"/>
              <w:bottom w:w="80" w:type="dxa"/>
              <w:right w:w="70" w:type="dxa"/>
            </w:tcMar>
            <w:vAlign w:val="center"/>
          </w:tcPr>
          <w:p w14:paraId="6C7EBD16">
            <w:pPr>
              <w:jc w:val="center"/>
            </w:pPr>
            <w:r>
              <w:rPr>
                <w:rFonts w:ascii="Times New Roman" w:hAnsi="Times New Roman" w:eastAsia="Times New Roman"/>
                <w:b w:val="0"/>
                <w:sz w:val="16"/>
              </w:rPr>
              <w:t>0.0013</w:t>
            </w:r>
          </w:p>
        </w:tc>
        <w:tc>
          <w:tcPr>
            <w:tcW w:w="1384" w:type="dxa"/>
            <w:tcMar>
              <w:top w:w="80" w:type="dxa"/>
              <w:left w:w="70" w:type="dxa"/>
              <w:bottom w:w="80" w:type="dxa"/>
              <w:right w:w="70" w:type="dxa"/>
            </w:tcMar>
            <w:vAlign w:val="center"/>
          </w:tcPr>
          <w:p w14:paraId="3E8E51D4">
            <w:pPr>
              <w:jc w:val="center"/>
            </w:pPr>
            <w:r>
              <w:rPr>
                <w:rFonts w:ascii="Times New Roman" w:hAnsi="Times New Roman" w:eastAsia="Times New Roman"/>
                <w:b w:val="0"/>
                <w:sz w:val="16"/>
              </w:rPr>
              <w:t>1.6914</w:t>
            </w:r>
          </w:p>
        </w:tc>
        <w:tc>
          <w:tcPr>
            <w:tcW w:w="1384" w:type="dxa"/>
            <w:tcMar>
              <w:top w:w="80" w:type="dxa"/>
              <w:left w:w="70" w:type="dxa"/>
              <w:bottom w:w="80" w:type="dxa"/>
              <w:right w:w="70" w:type="dxa"/>
            </w:tcMar>
            <w:vAlign w:val="center"/>
          </w:tcPr>
          <w:p w14:paraId="1116A000">
            <w:pPr>
              <w:jc w:val="center"/>
            </w:pPr>
            <w:r>
              <w:rPr>
                <w:rFonts w:ascii="Times New Roman" w:hAnsi="Times New Roman" w:eastAsia="Times New Roman"/>
                <w:b w:val="0"/>
                <w:sz w:val="16"/>
              </w:rPr>
              <w:t>0.0908</w:t>
            </w:r>
          </w:p>
        </w:tc>
        <w:tc>
          <w:tcPr>
            <w:tcW w:w="1384" w:type="dxa"/>
            <w:tcMar>
              <w:top w:w="80" w:type="dxa"/>
              <w:left w:w="70" w:type="dxa"/>
              <w:bottom w:w="80" w:type="dxa"/>
              <w:right w:w="70" w:type="dxa"/>
            </w:tcMar>
            <w:vAlign w:val="center"/>
          </w:tcPr>
          <w:p w14:paraId="2F4649A4">
            <w:pPr>
              <w:jc w:val="center"/>
            </w:pPr>
            <w:r>
              <w:rPr>
                <w:rFonts w:ascii="Times New Roman" w:hAnsi="Times New Roman" w:eastAsia="Times New Roman"/>
                <w:b w:val="0"/>
                <w:sz w:val="16"/>
              </w:rPr>
              <w:t>[-0.0004, 0.0049]</w:t>
            </w:r>
          </w:p>
        </w:tc>
      </w:tr>
      <w:tr w14:paraId="6A8D1B58">
        <w:trPr>
          <w:jc w:val="center"/>
        </w:trPr>
        <w:tc>
          <w:tcPr>
            <w:tcW w:w="1384" w:type="dxa"/>
            <w:tcMar>
              <w:top w:w="80" w:type="dxa"/>
              <w:left w:w="70" w:type="dxa"/>
              <w:bottom w:w="80" w:type="dxa"/>
              <w:right w:w="70" w:type="dxa"/>
            </w:tcMar>
            <w:vAlign w:val="center"/>
          </w:tcPr>
          <w:p w14:paraId="77550D6C">
            <w:pPr>
              <w:jc w:val="left"/>
            </w:pPr>
            <w:r>
              <w:rPr>
                <w:rFonts w:ascii="Times New Roman" w:hAnsi="Times New Roman" w:eastAsia="Times New Roman"/>
                <w:b w:val="0"/>
                <w:sz w:val="16"/>
              </w:rPr>
              <w:t>post_good</w:t>
            </w:r>
          </w:p>
        </w:tc>
        <w:tc>
          <w:tcPr>
            <w:tcW w:w="1384" w:type="dxa"/>
            <w:tcMar>
              <w:top w:w="80" w:type="dxa"/>
              <w:left w:w="70" w:type="dxa"/>
              <w:bottom w:w="80" w:type="dxa"/>
              <w:right w:w="70" w:type="dxa"/>
            </w:tcMar>
            <w:vAlign w:val="center"/>
          </w:tcPr>
          <w:p w14:paraId="12BCDDD2">
            <w:pPr>
              <w:jc w:val="center"/>
            </w:pPr>
            <w:r>
              <w:rPr>
                <w:rFonts w:ascii="Times New Roman" w:hAnsi="Times New Roman" w:eastAsia="Times New Roman"/>
                <w:b w:val="0"/>
                <w:sz w:val="16"/>
              </w:rPr>
              <w:t>0.0053*</w:t>
            </w:r>
          </w:p>
        </w:tc>
        <w:tc>
          <w:tcPr>
            <w:tcW w:w="1384" w:type="dxa"/>
            <w:tcMar>
              <w:top w:w="80" w:type="dxa"/>
              <w:left w:w="70" w:type="dxa"/>
              <w:bottom w:w="80" w:type="dxa"/>
              <w:right w:w="70" w:type="dxa"/>
            </w:tcMar>
            <w:vAlign w:val="center"/>
          </w:tcPr>
          <w:p w14:paraId="19B5A286">
            <w:pPr>
              <w:jc w:val="center"/>
            </w:pPr>
            <w:r>
              <w:rPr>
                <w:rFonts w:ascii="Times New Roman" w:hAnsi="Times New Roman" w:eastAsia="Times New Roman"/>
                <w:b w:val="0"/>
                <w:sz w:val="16"/>
              </w:rPr>
              <w:t>0.0028</w:t>
            </w:r>
          </w:p>
        </w:tc>
        <w:tc>
          <w:tcPr>
            <w:tcW w:w="1384" w:type="dxa"/>
            <w:tcMar>
              <w:top w:w="80" w:type="dxa"/>
              <w:left w:w="70" w:type="dxa"/>
              <w:bottom w:w="80" w:type="dxa"/>
              <w:right w:w="70" w:type="dxa"/>
            </w:tcMar>
            <w:vAlign w:val="center"/>
          </w:tcPr>
          <w:p w14:paraId="3F1151FD">
            <w:pPr>
              <w:jc w:val="center"/>
            </w:pPr>
            <w:r>
              <w:rPr>
                <w:rFonts w:ascii="Times New Roman" w:hAnsi="Times New Roman" w:eastAsia="Times New Roman"/>
                <w:b w:val="0"/>
                <w:sz w:val="16"/>
              </w:rPr>
              <w:t>1.9338</w:t>
            </w:r>
          </w:p>
        </w:tc>
        <w:tc>
          <w:tcPr>
            <w:tcW w:w="1384" w:type="dxa"/>
            <w:tcMar>
              <w:top w:w="80" w:type="dxa"/>
              <w:left w:w="70" w:type="dxa"/>
              <w:bottom w:w="80" w:type="dxa"/>
              <w:right w:w="70" w:type="dxa"/>
            </w:tcMar>
            <w:vAlign w:val="center"/>
          </w:tcPr>
          <w:p w14:paraId="116C6663">
            <w:pPr>
              <w:jc w:val="center"/>
            </w:pPr>
            <w:r>
              <w:rPr>
                <w:rFonts w:ascii="Times New Roman" w:hAnsi="Times New Roman" w:eastAsia="Times New Roman"/>
                <w:b w:val="0"/>
                <w:sz w:val="16"/>
              </w:rPr>
              <w:t>0.0531</w:t>
            </w:r>
          </w:p>
        </w:tc>
        <w:tc>
          <w:tcPr>
            <w:tcW w:w="1384" w:type="dxa"/>
            <w:tcMar>
              <w:top w:w="80" w:type="dxa"/>
              <w:left w:w="70" w:type="dxa"/>
              <w:bottom w:w="80" w:type="dxa"/>
              <w:right w:w="70" w:type="dxa"/>
            </w:tcMar>
            <w:vAlign w:val="center"/>
          </w:tcPr>
          <w:p w14:paraId="0B1036AC">
            <w:pPr>
              <w:jc w:val="center"/>
            </w:pPr>
            <w:r>
              <w:rPr>
                <w:rFonts w:ascii="Times New Roman" w:hAnsi="Times New Roman" w:eastAsia="Times New Roman"/>
                <w:b w:val="0"/>
                <w:sz w:val="16"/>
              </w:rPr>
              <w:t>[-0.0001, 0.0108]</w:t>
            </w:r>
          </w:p>
        </w:tc>
      </w:tr>
      <w:tr w14:paraId="790CB1F7">
        <w:trPr>
          <w:jc w:val="center"/>
        </w:trPr>
        <w:tc>
          <w:tcPr>
            <w:tcW w:w="1384" w:type="dxa"/>
            <w:tcMar>
              <w:top w:w="80" w:type="dxa"/>
              <w:left w:w="70" w:type="dxa"/>
              <w:bottom w:w="80" w:type="dxa"/>
              <w:right w:w="70" w:type="dxa"/>
            </w:tcMar>
            <w:vAlign w:val="center"/>
          </w:tcPr>
          <w:p w14:paraId="2FCEC9BA">
            <w:pPr>
              <w:jc w:val="left"/>
            </w:pPr>
            <w:r>
              <w:rPr>
                <w:rFonts w:ascii="Times New Roman" w:hAnsi="Times New Roman" w:eastAsia="Times New Roman"/>
                <w:b w:val="0"/>
                <w:sz w:val="16"/>
              </w:rPr>
              <w:t>AI_post_good</w:t>
            </w:r>
          </w:p>
        </w:tc>
        <w:tc>
          <w:tcPr>
            <w:tcW w:w="1384" w:type="dxa"/>
            <w:tcMar>
              <w:top w:w="80" w:type="dxa"/>
              <w:left w:w="70" w:type="dxa"/>
              <w:bottom w:w="80" w:type="dxa"/>
              <w:right w:w="70" w:type="dxa"/>
            </w:tcMar>
            <w:vAlign w:val="center"/>
          </w:tcPr>
          <w:p w14:paraId="6E47B4D2">
            <w:pPr>
              <w:jc w:val="center"/>
            </w:pPr>
            <w:r>
              <w:rPr>
                <w:rFonts w:ascii="Times New Roman" w:hAnsi="Times New Roman" w:eastAsia="Times New Roman"/>
                <w:b w:val="0"/>
                <w:sz w:val="16"/>
              </w:rPr>
              <w:t>0.0064**</w:t>
            </w:r>
          </w:p>
        </w:tc>
        <w:tc>
          <w:tcPr>
            <w:tcW w:w="1384" w:type="dxa"/>
            <w:tcMar>
              <w:top w:w="80" w:type="dxa"/>
              <w:left w:w="70" w:type="dxa"/>
              <w:bottom w:w="80" w:type="dxa"/>
              <w:right w:w="70" w:type="dxa"/>
            </w:tcMar>
            <w:vAlign w:val="center"/>
          </w:tcPr>
          <w:p w14:paraId="3D00DEB6">
            <w:pPr>
              <w:jc w:val="center"/>
            </w:pPr>
            <w:r>
              <w:rPr>
                <w:rFonts w:ascii="Times New Roman" w:hAnsi="Times New Roman" w:eastAsia="Times New Roman"/>
                <w:b w:val="0"/>
                <w:sz w:val="16"/>
              </w:rPr>
              <w:t>0.0028</w:t>
            </w:r>
          </w:p>
        </w:tc>
        <w:tc>
          <w:tcPr>
            <w:tcW w:w="1384" w:type="dxa"/>
            <w:tcMar>
              <w:top w:w="80" w:type="dxa"/>
              <w:left w:w="70" w:type="dxa"/>
              <w:bottom w:w="80" w:type="dxa"/>
              <w:right w:w="70" w:type="dxa"/>
            </w:tcMar>
            <w:vAlign w:val="center"/>
          </w:tcPr>
          <w:p w14:paraId="6DAC4198">
            <w:pPr>
              <w:jc w:val="center"/>
            </w:pPr>
            <w:r>
              <w:rPr>
                <w:rFonts w:ascii="Times New Roman" w:hAnsi="Times New Roman" w:eastAsia="Times New Roman"/>
                <w:b w:val="0"/>
                <w:sz w:val="16"/>
              </w:rPr>
              <w:t>2.2823</w:t>
            </w:r>
          </w:p>
        </w:tc>
        <w:tc>
          <w:tcPr>
            <w:tcW w:w="1384" w:type="dxa"/>
            <w:tcMar>
              <w:top w:w="80" w:type="dxa"/>
              <w:left w:w="70" w:type="dxa"/>
              <w:bottom w:w="80" w:type="dxa"/>
              <w:right w:w="70" w:type="dxa"/>
            </w:tcMar>
            <w:vAlign w:val="center"/>
          </w:tcPr>
          <w:p w14:paraId="3261AB2C">
            <w:pPr>
              <w:jc w:val="center"/>
            </w:pPr>
            <w:r>
              <w:rPr>
                <w:rFonts w:ascii="Times New Roman" w:hAnsi="Times New Roman" w:eastAsia="Times New Roman"/>
                <w:b w:val="0"/>
                <w:sz w:val="16"/>
              </w:rPr>
              <w:t>0.0225</w:t>
            </w:r>
          </w:p>
        </w:tc>
        <w:tc>
          <w:tcPr>
            <w:tcW w:w="1384" w:type="dxa"/>
            <w:tcMar>
              <w:top w:w="80" w:type="dxa"/>
              <w:left w:w="70" w:type="dxa"/>
              <w:bottom w:w="80" w:type="dxa"/>
              <w:right w:w="70" w:type="dxa"/>
            </w:tcMar>
            <w:vAlign w:val="center"/>
          </w:tcPr>
          <w:p w14:paraId="725365F2">
            <w:pPr>
              <w:jc w:val="center"/>
            </w:pPr>
            <w:r>
              <w:rPr>
                <w:rFonts w:ascii="Times New Roman" w:hAnsi="Times New Roman" w:eastAsia="Times New Roman"/>
                <w:b w:val="0"/>
                <w:sz w:val="16"/>
              </w:rPr>
              <w:t>[0.0009, 0.0119]</w:t>
            </w:r>
          </w:p>
        </w:tc>
      </w:tr>
      <w:tr w14:paraId="07417EF8">
        <w:trPr>
          <w:jc w:val="center"/>
        </w:trPr>
        <w:tc>
          <w:tcPr>
            <w:tcW w:w="1384" w:type="dxa"/>
            <w:tcMar>
              <w:top w:w="80" w:type="dxa"/>
              <w:left w:w="70" w:type="dxa"/>
              <w:bottom w:w="80" w:type="dxa"/>
              <w:right w:w="70" w:type="dxa"/>
            </w:tcMar>
            <w:vAlign w:val="center"/>
          </w:tcPr>
          <w:p w14:paraId="103A1E3D">
            <w:pPr>
              <w:jc w:val="left"/>
            </w:pPr>
            <w:r>
              <w:rPr>
                <w:rFonts w:ascii="Times New Roman" w:hAnsi="Times New Roman" w:eastAsia="Times New Roman"/>
                <w:b w:val="0"/>
                <w:sz w:val="16"/>
              </w:rPr>
              <w:t>log_mtna_lag</w:t>
            </w:r>
          </w:p>
        </w:tc>
        <w:tc>
          <w:tcPr>
            <w:tcW w:w="1384" w:type="dxa"/>
            <w:tcMar>
              <w:top w:w="80" w:type="dxa"/>
              <w:left w:w="70" w:type="dxa"/>
              <w:bottom w:w="80" w:type="dxa"/>
              <w:right w:w="70" w:type="dxa"/>
            </w:tcMar>
            <w:vAlign w:val="center"/>
          </w:tcPr>
          <w:p w14:paraId="31A8831A">
            <w:pPr>
              <w:jc w:val="center"/>
            </w:pPr>
            <w:r>
              <w:rPr>
                <w:rFonts w:ascii="Times New Roman" w:hAnsi="Times New Roman" w:eastAsia="Times New Roman"/>
                <w:b w:val="0"/>
                <w:sz w:val="16"/>
              </w:rPr>
              <w:t>-0.0323***</w:t>
            </w:r>
          </w:p>
        </w:tc>
        <w:tc>
          <w:tcPr>
            <w:tcW w:w="1384" w:type="dxa"/>
            <w:tcMar>
              <w:top w:w="80" w:type="dxa"/>
              <w:left w:w="70" w:type="dxa"/>
              <w:bottom w:w="80" w:type="dxa"/>
              <w:right w:w="70" w:type="dxa"/>
            </w:tcMar>
            <w:vAlign w:val="center"/>
          </w:tcPr>
          <w:p w14:paraId="747072A9">
            <w:pPr>
              <w:jc w:val="center"/>
            </w:pPr>
            <w:r>
              <w:rPr>
                <w:rFonts w:ascii="Times New Roman" w:hAnsi="Times New Roman" w:eastAsia="Times New Roman"/>
                <w:b w:val="0"/>
                <w:sz w:val="16"/>
              </w:rPr>
              <w:t>0.0026</w:t>
            </w:r>
          </w:p>
        </w:tc>
        <w:tc>
          <w:tcPr>
            <w:tcW w:w="1384" w:type="dxa"/>
            <w:tcMar>
              <w:top w:w="80" w:type="dxa"/>
              <w:left w:w="70" w:type="dxa"/>
              <w:bottom w:w="80" w:type="dxa"/>
              <w:right w:w="70" w:type="dxa"/>
            </w:tcMar>
            <w:vAlign w:val="center"/>
          </w:tcPr>
          <w:p w14:paraId="7277AF10">
            <w:pPr>
              <w:jc w:val="center"/>
            </w:pPr>
            <w:r>
              <w:rPr>
                <w:rFonts w:ascii="Times New Roman" w:hAnsi="Times New Roman" w:eastAsia="Times New Roman"/>
                <w:b w:val="0"/>
                <w:sz w:val="16"/>
              </w:rPr>
              <w:t>-12.599</w:t>
            </w:r>
          </w:p>
        </w:tc>
        <w:tc>
          <w:tcPr>
            <w:tcW w:w="1384" w:type="dxa"/>
            <w:tcMar>
              <w:top w:w="80" w:type="dxa"/>
              <w:left w:w="70" w:type="dxa"/>
              <w:bottom w:w="80" w:type="dxa"/>
              <w:right w:w="70" w:type="dxa"/>
            </w:tcMar>
            <w:vAlign w:val="center"/>
          </w:tcPr>
          <w:p w14:paraId="14B3696F">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7A6440A8">
            <w:pPr>
              <w:jc w:val="center"/>
            </w:pPr>
            <w:r>
              <w:rPr>
                <w:rFonts w:ascii="Times New Roman" w:hAnsi="Times New Roman" w:eastAsia="Times New Roman"/>
                <w:b w:val="0"/>
                <w:sz w:val="16"/>
              </w:rPr>
              <w:t>[-0.0373, -0.0273]</w:t>
            </w:r>
          </w:p>
        </w:tc>
      </w:tr>
      <w:tr w14:paraId="63E666CA">
        <w:trPr>
          <w:jc w:val="center"/>
        </w:trPr>
        <w:tc>
          <w:tcPr>
            <w:tcW w:w="1384" w:type="dxa"/>
            <w:tcMar>
              <w:top w:w="80" w:type="dxa"/>
              <w:left w:w="70" w:type="dxa"/>
              <w:bottom w:w="80" w:type="dxa"/>
              <w:right w:w="70" w:type="dxa"/>
            </w:tcMar>
            <w:vAlign w:val="center"/>
          </w:tcPr>
          <w:p w14:paraId="5B6868C2">
            <w:pPr>
              <w:jc w:val="left"/>
            </w:pPr>
            <w:r>
              <w:rPr>
                <w:rFonts w:ascii="Times New Roman" w:hAnsi="Times New Roman" w:eastAsia="Times New Roman"/>
                <w:b w:val="0"/>
                <w:sz w:val="16"/>
              </w:rPr>
              <w:t>mret_lag</w:t>
            </w:r>
          </w:p>
        </w:tc>
        <w:tc>
          <w:tcPr>
            <w:tcW w:w="1384" w:type="dxa"/>
            <w:tcMar>
              <w:top w:w="80" w:type="dxa"/>
              <w:left w:w="70" w:type="dxa"/>
              <w:bottom w:w="80" w:type="dxa"/>
              <w:right w:w="70" w:type="dxa"/>
            </w:tcMar>
            <w:vAlign w:val="center"/>
          </w:tcPr>
          <w:p w14:paraId="31EDD70E">
            <w:pPr>
              <w:jc w:val="center"/>
            </w:pPr>
            <w:r>
              <w:rPr>
                <w:rFonts w:ascii="Times New Roman" w:hAnsi="Times New Roman" w:eastAsia="Times New Roman"/>
                <w:b w:val="0"/>
                <w:sz w:val="16"/>
              </w:rPr>
              <w:t>0.1373***</w:t>
            </w:r>
          </w:p>
        </w:tc>
        <w:tc>
          <w:tcPr>
            <w:tcW w:w="1384" w:type="dxa"/>
            <w:tcMar>
              <w:top w:w="80" w:type="dxa"/>
              <w:left w:w="70" w:type="dxa"/>
              <w:bottom w:w="80" w:type="dxa"/>
              <w:right w:w="70" w:type="dxa"/>
            </w:tcMar>
            <w:vAlign w:val="center"/>
          </w:tcPr>
          <w:p w14:paraId="4F5BADF5">
            <w:pPr>
              <w:jc w:val="center"/>
            </w:pPr>
            <w:r>
              <w:rPr>
                <w:rFonts w:ascii="Times New Roman" w:hAnsi="Times New Roman" w:eastAsia="Times New Roman"/>
                <w:b w:val="0"/>
                <w:sz w:val="16"/>
              </w:rPr>
              <w:t>0.0214</w:t>
            </w:r>
          </w:p>
        </w:tc>
        <w:tc>
          <w:tcPr>
            <w:tcW w:w="1384" w:type="dxa"/>
            <w:tcMar>
              <w:top w:w="80" w:type="dxa"/>
              <w:left w:w="70" w:type="dxa"/>
              <w:bottom w:w="80" w:type="dxa"/>
              <w:right w:w="70" w:type="dxa"/>
            </w:tcMar>
            <w:vAlign w:val="center"/>
          </w:tcPr>
          <w:p w14:paraId="709876D2">
            <w:pPr>
              <w:jc w:val="center"/>
            </w:pPr>
            <w:r>
              <w:rPr>
                <w:rFonts w:ascii="Times New Roman" w:hAnsi="Times New Roman" w:eastAsia="Times New Roman"/>
                <w:b w:val="0"/>
                <w:sz w:val="16"/>
              </w:rPr>
              <w:t>6.4096</w:t>
            </w:r>
          </w:p>
        </w:tc>
        <w:tc>
          <w:tcPr>
            <w:tcW w:w="1384" w:type="dxa"/>
            <w:tcMar>
              <w:top w:w="80" w:type="dxa"/>
              <w:left w:w="70" w:type="dxa"/>
              <w:bottom w:w="80" w:type="dxa"/>
              <w:right w:w="70" w:type="dxa"/>
            </w:tcMar>
            <w:vAlign w:val="center"/>
          </w:tcPr>
          <w:p w14:paraId="4D2787A7">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177234A2">
            <w:pPr>
              <w:jc w:val="center"/>
            </w:pPr>
            <w:r>
              <w:rPr>
                <w:rFonts w:ascii="Times New Roman" w:hAnsi="Times New Roman" w:eastAsia="Times New Roman"/>
                <w:b w:val="0"/>
                <w:sz w:val="16"/>
              </w:rPr>
              <w:t>[0.0953, 0.1793]</w:t>
            </w:r>
          </w:p>
        </w:tc>
      </w:tr>
      <w:tr w14:paraId="0DB7A17B">
        <w:trPr>
          <w:jc w:val="center"/>
        </w:trPr>
        <w:tc>
          <w:tcPr>
            <w:tcW w:w="1384" w:type="dxa"/>
            <w:tcMar>
              <w:top w:w="80" w:type="dxa"/>
              <w:left w:w="70" w:type="dxa"/>
              <w:bottom w:w="80" w:type="dxa"/>
              <w:right w:w="70" w:type="dxa"/>
            </w:tcMar>
            <w:vAlign w:val="center"/>
          </w:tcPr>
          <w:p w14:paraId="10B20B7E">
            <w:pPr>
              <w:jc w:val="left"/>
            </w:pPr>
            <w:r>
              <w:rPr>
                <w:rFonts w:ascii="Times New Roman" w:hAnsi="Times New Roman" w:eastAsia="Times New Roman"/>
                <w:b w:val="0"/>
                <w:sz w:val="16"/>
              </w:rPr>
              <w:t>flow_lag</w:t>
            </w:r>
          </w:p>
        </w:tc>
        <w:tc>
          <w:tcPr>
            <w:tcW w:w="1384" w:type="dxa"/>
            <w:tcMar>
              <w:top w:w="80" w:type="dxa"/>
              <w:left w:w="70" w:type="dxa"/>
              <w:bottom w:w="80" w:type="dxa"/>
              <w:right w:w="70" w:type="dxa"/>
            </w:tcMar>
            <w:vAlign w:val="center"/>
          </w:tcPr>
          <w:p w14:paraId="5736474A">
            <w:pPr>
              <w:jc w:val="center"/>
            </w:pPr>
            <w:r>
              <w:rPr>
                <w:rFonts w:ascii="Times New Roman" w:hAnsi="Times New Roman" w:eastAsia="Times New Roman"/>
                <w:b w:val="0"/>
                <w:sz w:val="16"/>
              </w:rPr>
              <w:t>-0.0937***</w:t>
            </w:r>
          </w:p>
        </w:tc>
        <w:tc>
          <w:tcPr>
            <w:tcW w:w="1384" w:type="dxa"/>
            <w:tcMar>
              <w:top w:w="80" w:type="dxa"/>
              <w:left w:w="70" w:type="dxa"/>
              <w:bottom w:w="80" w:type="dxa"/>
              <w:right w:w="70" w:type="dxa"/>
            </w:tcMar>
            <w:vAlign w:val="center"/>
          </w:tcPr>
          <w:p w14:paraId="2E311BB5">
            <w:pPr>
              <w:jc w:val="center"/>
            </w:pPr>
            <w:r>
              <w:rPr>
                <w:rFonts w:ascii="Times New Roman" w:hAnsi="Times New Roman" w:eastAsia="Times New Roman"/>
                <w:b w:val="0"/>
                <w:sz w:val="16"/>
              </w:rPr>
              <w:t>0.0133</w:t>
            </w:r>
          </w:p>
        </w:tc>
        <w:tc>
          <w:tcPr>
            <w:tcW w:w="1384" w:type="dxa"/>
            <w:tcMar>
              <w:top w:w="80" w:type="dxa"/>
              <w:left w:w="70" w:type="dxa"/>
              <w:bottom w:w="80" w:type="dxa"/>
              <w:right w:w="70" w:type="dxa"/>
            </w:tcMar>
            <w:vAlign w:val="center"/>
          </w:tcPr>
          <w:p w14:paraId="5722D43E">
            <w:pPr>
              <w:jc w:val="center"/>
            </w:pPr>
            <w:r>
              <w:rPr>
                <w:rFonts w:ascii="Times New Roman" w:hAnsi="Times New Roman" w:eastAsia="Times New Roman"/>
                <w:b w:val="0"/>
                <w:sz w:val="16"/>
              </w:rPr>
              <w:t>-7.0668</w:t>
            </w:r>
          </w:p>
        </w:tc>
        <w:tc>
          <w:tcPr>
            <w:tcW w:w="1384" w:type="dxa"/>
            <w:tcMar>
              <w:top w:w="80" w:type="dxa"/>
              <w:left w:w="70" w:type="dxa"/>
              <w:bottom w:w="80" w:type="dxa"/>
              <w:right w:w="70" w:type="dxa"/>
            </w:tcMar>
            <w:vAlign w:val="center"/>
          </w:tcPr>
          <w:p w14:paraId="45070423">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3342E90D">
            <w:pPr>
              <w:jc w:val="center"/>
            </w:pPr>
            <w:r>
              <w:rPr>
                <w:rFonts w:ascii="Times New Roman" w:hAnsi="Times New Roman" w:eastAsia="Times New Roman"/>
                <w:b w:val="0"/>
                <w:sz w:val="16"/>
              </w:rPr>
              <w:t>[-0.1196, -0.0677]</w:t>
            </w:r>
          </w:p>
        </w:tc>
      </w:tr>
      <w:tr w14:paraId="731698D5">
        <w:trPr>
          <w:jc w:val="center"/>
        </w:trPr>
        <w:tc>
          <w:tcPr>
            <w:tcW w:w="1384" w:type="dxa"/>
            <w:tcMar>
              <w:top w:w="80" w:type="dxa"/>
              <w:left w:w="70" w:type="dxa"/>
              <w:bottom w:w="80" w:type="dxa"/>
              <w:right w:w="70" w:type="dxa"/>
            </w:tcMar>
            <w:vAlign w:val="center"/>
          </w:tcPr>
          <w:p w14:paraId="1119D87D">
            <w:pPr>
              <w:jc w:val="left"/>
            </w:pPr>
            <w:r>
              <w:rPr>
                <w:rFonts w:ascii="Times New Roman" w:hAnsi="Times New Roman" w:eastAsia="Times New Roman"/>
                <w:b/>
                <w:sz w:val="16"/>
              </w:rPr>
              <w:t>Observations</w:t>
            </w:r>
          </w:p>
        </w:tc>
        <w:tc>
          <w:tcPr>
            <w:tcW w:w="1384" w:type="dxa"/>
            <w:tcMar>
              <w:top w:w="80" w:type="dxa"/>
              <w:left w:w="70" w:type="dxa"/>
              <w:bottom w:w="80" w:type="dxa"/>
              <w:right w:w="70" w:type="dxa"/>
            </w:tcMar>
            <w:vAlign w:val="center"/>
          </w:tcPr>
          <w:p w14:paraId="2337890B">
            <w:pPr>
              <w:jc w:val="center"/>
            </w:pPr>
            <w:r>
              <w:rPr>
                <w:rFonts w:ascii="Times New Roman" w:hAnsi="Times New Roman" w:eastAsia="Times New Roman"/>
                <w:b w:val="0"/>
                <w:sz w:val="16"/>
              </w:rPr>
              <w:t>80,492</w:t>
            </w:r>
          </w:p>
        </w:tc>
        <w:tc>
          <w:tcPr>
            <w:tcW w:w="1384" w:type="dxa"/>
            <w:tcMar>
              <w:top w:w="80" w:type="dxa"/>
              <w:left w:w="70" w:type="dxa"/>
              <w:bottom w:w="80" w:type="dxa"/>
              <w:right w:w="70" w:type="dxa"/>
            </w:tcMar>
            <w:vAlign w:val="center"/>
          </w:tcPr>
          <w:p w14:paraId="01E02AA3">
            <w:pPr>
              <w:jc w:val="center"/>
            </w:pPr>
          </w:p>
        </w:tc>
        <w:tc>
          <w:tcPr>
            <w:tcW w:w="1384" w:type="dxa"/>
            <w:tcMar>
              <w:top w:w="80" w:type="dxa"/>
              <w:left w:w="70" w:type="dxa"/>
              <w:bottom w:w="80" w:type="dxa"/>
              <w:right w:w="70" w:type="dxa"/>
            </w:tcMar>
            <w:vAlign w:val="center"/>
          </w:tcPr>
          <w:p w14:paraId="117E4546">
            <w:pPr>
              <w:jc w:val="center"/>
            </w:pPr>
          </w:p>
        </w:tc>
        <w:tc>
          <w:tcPr>
            <w:tcW w:w="1384" w:type="dxa"/>
            <w:tcMar>
              <w:top w:w="80" w:type="dxa"/>
              <w:left w:w="70" w:type="dxa"/>
              <w:bottom w:w="80" w:type="dxa"/>
              <w:right w:w="70" w:type="dxa"/>
            </w:tcMar>
            <w:vAlign w:val="center"/>
          </w:tcPr>
          <w:p w14:paraId="310028DA">
            <w:pPr>
              <w:jc w:val="center"/>
            </w:pPr>
          </w:p>
        </w:tc>
        <w:tc>
          <w:tcPr>
            <w:tcW w:w="1384" w:type="dxa"/>
            <w:tcMar>
              <w:top w:w="80" w:type="dxa"/>
              <w:left w:w="70" w:type="dxa"/>
              <w:bottom w:w="80" w:type="dxa"/>
              <w:right w:w="70" w:type="dxa"/>
            </w:tcMar>
            <w:vAlign w:val="center"/>
          </w:tcPr>
          <w:p w14:paraId="096B43A8">
            <w:pPr>
              <w:jc w:val="center"/>
            </w:pPr>
          </w:p>
        </w:tc>
      </w:tr>
      <w:tr w14:paraId="5D849971">
        <w:trPr>
          <w:jc w:val="center"/>
        </w:trPr>
        <w:tc>
          <w:tcPr>
            <w:tcW w:w="1384" w:type="dxa"/>
            <w:tcMar>
              <w:top w:w="80" w:type="dxa"/>
              <w:left w:w="70" w:type="dxa"/>
              <w:bottom w:w="80" w:type="dxa"/>
              <w:right w:w="70" w:type="dxa"/>
            </w:tcMar>
            <w:vAlign w:val="center"/>
          </w:tcPr>
          <w:p w14:paraId="36144B8D">
            <w:pPr>
              <w:jc w:val="left"/>
            </w:pPr>
            <w:r>
              <w:rPr>
                <w:rFonts w:ascii="Times New Roman" w:hAnsi="Times New Roman" w:eastAsia="Times New Roman"/>
                <w:b/>
                <w:sz w:val="16"/>
              </w:rPr>
              <w:t>R-squared</w:t>
            </w:r>
          </w:p>
        </w:tc>
        <w:tc>
          <w:tcPr>
            <w:tcW w:w="1384" w:type="dxa"/>
            <w:tcMar>
              <w:top w:w="80" w:type="dxa"/>
              <w:left w:w="70" w:type="dxa"/>
              <w:bottom w:w="80" w:type="dxa"/>
              <w:right w:w="70" w:type="dxa"/>
            </w:tcMar>
            <w:vAlign w:val="center"/>
          </w:tcPr>
          <w:p w14:paraId="066B9457">
            <w:pPr>
              <w:jc w:val="center"/>
            </w:pPr>
            <w:r>
              <w:rPr>
                <w:rFonts w:ascii="Times New Roman" w:hAnsi="Times New Roman" w:eastAsia="Times New Roman"/>
                <w:b w:val="0"/>
                <w:sz w:val="16"/>
              </w:rPr>
              <w:t>0.0367</w:t>
            </w:r>
          </w:p>
        </w:tc>
        <w:tc>
          <w:tcPr>
            <w:tcW w:w="1384" w:type="dxa"/>
            <w:tcMar>
              <w:top w:w="80" w:type="dxa"/>
              <w:left w:w="70" w:type="dxa"/>
              <w:bottom w:w="80" w:type="dxa"/>
              <w:right w:w="70" w:type="dxa"/>
            </w:tcMar>
            <w:vAlign w:val="center"/>
          </w:tcPr>
          <w:p w14:paraId="197773E0">
            <w:pPr>
              <w:jc w:val="center"/>
            </w:pPr>
          </w:p>
        </w:tc>
        <w:tc>
          <w:tcPr>
            <w:tcW w:w="1384" w:type="dxa"/>
            <w:tcMar>
              <w:top w:w="80" w:type="dxa"/>
              <w:left w:w="70" w:type="dxa"/>
              <w:bottom w:w="80" w:type="dxa"/>
              <w:right w:w="70" w:type="dxa"/>
            </w:tcMar>
            <w:vAlign w:val="center"/>
          </w:tcPr>
          <w:p w14:paraId="2AA99A37">
            <w:pPr>
              <w:jc w:val="center"/>
            </w:pPr>
          </w:p>
        </w:tc>
        <w:tc>
          <w:tcPr>
            <w:tcW w:w="1384" w:type="dxa"/>
            <w:tcMar>
              <w:top w:w="80" w:type="dxa"/>
              <w:left w:w="70" w:type="dxa"/>
              <w:bottom w:w="80" w:type="dxa"/>
              <w:right w:w="70" w:type="dxa"/>
            </w:tcMar>
            <w:vAlign w:val="center"/>
          </w:tcPr>
          <w:p w14:paraId="58E39A9D">
            <w:pPr>
              <w:jc w:val="center"/>
            </w:pPr>
          </w:p>
        </w:tc>
        <w:tc>
          <w:tcPr>
            <w:tcW w:w="1384" w:type="dxa"/>
            <w:tcMar>
              <w:top w:w="80" w:type="dxa"/>
              <w:left w:w="70" w:type="dxa"/>
              <w:bottom w:w="80" w:type="dxa"/>
              <w:right w:w="70" w:type="dxa"/>
            </w:tcMar>
            <w:vAlign w:val="center"/>
          </w:tcPr>
          <w:p w14:paraId="0F5CC5B1">
            <w:pPr>
              <w:jc w:val="center"/>
            </w:pPr>
          </w:p>
        </w:tc>
      </w:tr>
      <w:tr w14:paraId="2D365A71">
        <w:trPr>
          <w:jc w:val="center"/>
        </w:trPr>
        <w:tc>
          <w:tcPr>
            <w:tcW w:w="1384" w:type="dxa"/>
            <w:tcMar>
              <w:top w:w="80" w:type="dxa"/>
              <w:left w:w="70" w:type="dxa"/>
              <w:bottom w:w="80" w:type="dxa"/>
              <w:right w:w="70" w:type="dxa"/>
            </w:tcMar>
            <w:vAlign w:val="center"/>
          </w:tcPr>
          <w:p w14:paraId="2F325447">
            <w:pPr>
              <w:jc w:val="left"/>
            </w:pPr>
            <w:r>
              <w:rPr>
                <w:rFonts w:ascii="Times New Roman" w:hAnsi="Times New Roman" w:eastAsia="Times New Roman"/>
                <w:b/>
                <w:sz w:val="16"/>
              </w:rPr>
              <w:t>Entities</w:t>
            </w:r>
          </w:p>
        </w:tc>
        <w:tc>
          <w:tcPr>
            <w:tcW w:w="1384" w:type="dxa"/>
            <w:tcMar>
              <w:top w:w="80" w:type="dxa"/>
              <w:left w:w="70" w:type="dxa"/>
              <w:bottom w:w="80" w:type="dxa"/>
              <w:right w:w="70" w:type="dxa"/>
            </w:tcMar>
            <w:vAlign w:val="center"/>
          </w:tcPr>
          <w:p w14:paraId="47C1AEFA">
            <w:pPr>
              <w:jc w:val="center"/>
            </w:pPr>
            <w:r>
              <w:rPr>
                <w:rFonts w:ascii="Times New Roman" w:hAnsi="Times New Roman" w:eastAsia="Times New Roman"/>
                <w:b w:val="0"/>
                <w:sz w:val="16"/>
              </w:rPr>
              <w:t>1,231</w:t>
            </w:r>
          </w:p>
        </w:tc>
        <w:tc>
          <w:tcPr>
            <w:tcW w:w="1384" w:type="dxa"/>
            <w:tcMar>
              <w:top w:w="80" w:type="dxa"/>
              <w:left w:w="70" w:type="dxa"/>
              <w:bottom w:w="80" w:type="dxa"/>
              <w:right w:w="70" w:type="dxa"/>
            </w:tcMar>
            <w:vAlign w:val="center"/>
          </w:tcPr>
          <w:p w14:paraId="20ACD061">
            <w:pPr>
              <w:jc w:val="center"/>
            </w:pPr>
          </w:p>
        </w:tc>
        <w:tc>
          <w:tcPr>
            <w:tcW w:w="1384" w:type="dxa"/>
            <w:tcMar>
              <w:top w:w="80" w:type="dxa"/>
              <w:left w:w="70" w:type="dxa"/>
              <w:bottom w:w="80" w:type="dxa"/>
              <w:right w:w="70" w:type="dxa"/>
            </w:tcMar>
            <w:vAlign w:val="center"/>
          </w:tcPr>
          <w:p w14:paraId="4CD8A238">
            <w:pPr>
              <w:jc w:val="center"/>
            </w:pPr>
          </w:p>
        </w:tc>
        <w:tc>
          <w:tcPr>
            <w:tcW w:w="1384" w:type="dxa"/>
            <w:tcMar>
              <w:top w:w="80" w:type="dxa"/>
              <w:left w:w="70" w:type="dxa"/>
              <w:bottom w:w="80" w:type="dxa"/>
              <w:right w:w="70" w:type="dxa"/>
            </w:tcMar>
            <w:vAlign w:val="center"/>
          </w:tcPr>
          <w:p w14:paraId="00AF399B">
            <w:pPr>
              <w:jc w:val="center"/>
            </w:pPr>
          </w:p>
        </w:tc>
        <w:tc>
          <w:tcPr>
            <w:tcW w:w="1384" w:type="dxa"/>
            <w:tcMar>
              <w:top w:w="80" w:type="dxa"/>
              <w:left w:w="70" w:type="dxa"/>
              <w:bottom w:w="80" w:type="dxa"/>
              <w:right w:w="70" w:type="dxa"/>
            </w:tcMar>
            <w:vAlign w:val="center"/>
          </w:tcPr>
          <w:p w14:paraId="44EEA421">
            <w:pPr>
              <w:jc w:val="center"/>
            </w:pPr>
          </w:p>
        </w:tc>
      </w:tr>
      <w:tr w14:paraId="182B1B0B">
        <w:trPr>
          <w:jc w:val="center"/>
        </w:trPr>
        <w:tc>
          <w:tcPr>
            <w:tcW w:w="1384" w:type="dxa"/>
            <w:tcMar>
              <w:top w:w="80" w:type="dxa"/>
              <w:left w:w="70" w:type="dxa"/>
              <w:bottom w:w="80" w:type="dxa"/>
              <w:right w:w="70" w:type="dxa"/>
            </w:tcMar>
            <w:vAlign w:val="center"/>
          </w:tcPr>
          <w:p w14:paraId="225371A4">
            <w:pPr>
              <w:jc w:val="left"/>
            </w:pPr>
            <w:r>
              <w:rPr>
                <w:rFonts w:ascii="Times New Roman" w:hAnsi="Times New Roman" w:eastAsia="Times New Roman"/>
                <w:b/>
                <w:sz w:val="16"/>
              </w:rPr>
              <w:t>Time periods</w:t>
            </w:r>
          </w:p>
        </w:tc>
        <w:tc>
          <w:tcPr>
            <w:tcW w:w="1384" w:type="dxa"/>
            <w:tcMar>
              <w:top w:w="80" w:type="dxa"/>
              <w:left w:w="70" w:type="dxa"/>
              <w:bottom w:w="80" w:type="dxa"/>
              <w:right w:w="70" w:type="dxa"/>
            </w:tcMar>
            <w:vAlign w:val="center"/>
          </w:tcPr>
          <w:p w14:paraId="34B2722D">
            <w:pPr>
              <w:jc w:val="center"/>
            </w:pPr>
            <w:r>
              <w:rPr>
                <w:rFonts w:ascii="Times New Roman" w:hAnsi="Times New Roman" w:eastAsia="Times New Roman"/>
                <w:b w:val="0"/>
                <w:sz w:val="16"/>
              </w:rPr>
              <w:t>70</w:t>
            </w:r>
          </w:p>
        </w:tc>
        <w:tc>
          <w:tcPr>
            <w:tcW w:w="1384" w:type="dxa"/>
            <w:tcMar>
              <w:top w:w="80" w:type="dxa"/>
              <w:left w:w="70" w:type="dxa"/>
              <w:bottom w:w="80" w:type="dxa"/>
              <w:right w:w="70" w:type="dxa"/>
            </w:tcMar>
            <w:vAlign w:val="center"/>
          </w:tcPr>
          <w:p w14:paraId="445666FB">
            <w:pPr>
              <w:jc w:val="center"/>
            </w:pPr>
          </w:p>
        </w:tc>
        <w:tc>
          <w:tcPr>
            <w:tcW w:w="1384" w:type="dxa"/>
            <w:tcMar>
              <w:top w:w="80" w:type="dxa"/>
              <w:left w:w="70" w:type="dxa"/>
              <w:bottom w:w="80" w:type="dxa"/>
              <w:right w:w="70" w:type="dxa"/>
            </w:tcMar>
            <w:vAlign w:val="center"/>
          </w:tcPr>
          <w:p w14:paraId="00BED381">
            <w:pPr>
              <w:jc w:val="center"/>
            </w:pPr>
          </w:p>
        </w:tc>
        <w:tc>
          <w:tcPr>
            <w:tcW w:w="1384" w:type="dxa"/>
            <w:tcMar>
              <w:top w:w="80" w:type="dxa"/>
              <w:left w:w="70" w:type="dxa"/>
              <w:bottom w:w="80" w:type="dxa"/>
              <w:right w:w="70" w:type="dxa"/>
            </w:tcMar>
            <w:vAlign w:val="center"/>
          </w:tcPr>
          <w:p w14:paraId="5455B78F">
            <w:pPr>
              <w:jc w:val="center"/>
            </w:pPr>
          </w:p>
        </w:tc>
        <w:tc>
          <w:tcPr>
            <w:tcW w:w="1384" w:type="dxa"/>
            <w:tcMar>
              <w:top w:w="80" w:type="dxa"/>
              <w:left w:w="70" w:type="dxa"/>
              <w:bottom w:w="80" w:type="dxa"/>
              <w:right w:w="70" w:type="dxa"/>
            </w:tcMar>
            <w:vAlign w:val="center"/>
          </w:tcPr>
          <w:p w14:paraId="47DBBC89">
            <w:pPr>
              <w:jc w:val="center"/>
            </w:pPr>
          </w:p>
        </w:tc>
      </w:tr>
    </w:tbl>
    <w:p w14:paraId="2677C964">
      <w:pPr>
        <w:spacing w:before="40" w:after="160"/>
      </w:pPr>
      <w:r>
        <w:rPr>
          <w:rFonts w:ascii="Times New Roman" w:hAnsi="Times New Roman" w:eastAsia="Times New Roman"/>
          <w:i/>
          <w:sz w:val="19"/>
        </w:rPr>
        <w:t>Notes: Values are transcribed from h2_alpha_median_result.txt. Standard errors are clustered at the fund level. The specification includes entity and time fixed effects. ***, **, and * denote p &lt; 0.01, p &lt; 0.05, and p &lt; 0.10.</w:t>
      </w:r>
    </w:p>
    <w:p w14:paraId="514F94A7">
      <w:pPr>
        <w:spacing w:after="120" w:line="276" w:lineRule="auto"/>
      </w:pPr>
      <w:r>
        <w:rPr>
          <w:rFonts w:ascii="Times New Roman" w:hAnsi="Times New Roman" w:eastAsia="Times New Roman"/>
          <w:sz w:val="24"/>
        </w:rPr>
        <w:t xml:space="preserve">The triple-interaction coefficient </w:t>
      </w:r>
      <w:r>
        <w:rPr>
          <w:rFonts w:ascii="Times New Roman" w:hAnsi="Times New Roman" w:eastAsia="Times New Roman"/>
          <w:b/>
          <w:sz w:val="24"/>
        </w:rPr>
        <w:t>AI_post_good</w:t>
      </w:r>
      <w:r>
        <w:rPr>
          <w:rFonts w:ascii="Times New Roman" w:hAnsi="Times New Roman" w:eastAsia="Times New Roman"/>
          <w:sz w:val="24"/>
        </w:rPr>
        <w:t xml:space="preserve"> is 0.0064 with a </w:t>
      </w:r>
      <w:r>
        <w:rPr>
          <w:rFonts w:ascii="Times New Roman" w:hAnsi="Times New Roman" w:eastAsia="Times New Roman"/>
          <w:b/>
          <w:sz w:val="24"/>
        </w:rPr>
        <w:t>P-value</w:t>
      </w:r>
      <w:r>
        <w:rPr>
          <w:rFonts w:ascii="Times New Roman" w:hAnsi="Times New Roman" w:eastAsia="Times New Roman"/>
          <w:sz w:val="24"/>
        </w:rPr>
        <w:t xml:space="preserve"> of 0.0225, indicating statistical significance at the 5% level. This estimate shows that the post-ChatGPT inflow response to AI exposure is stronger among funds with better prior risk-adjusted performance. In economic terms, the AI-related inflow sensitivity for high-</w:t>
      </w:r>
      <w:r>
        <w:rPr>
          <w:rFonts w:ascii="Times New Roman" w:hAnsi="Times New Roman" w:eastAsia="Times New Roman"/>
          <w:b/>
          <w:sz w:val="24"/>
        </w:rPr>
        <w:t>alpha</w:t>
      </w:r>
      <w:r>
        <w:rPr>
          <w:rFonts w:ascii="Times New Roman" w:hAnsi="Times New Roman" w:eastAsia="Times New Roman"/>
          <w:sz w:val="24"/>
        </w:rPr>
        <w:t xml:space="preserve"> funds is the sum of the baseline AI exposure effect and the additional high-performance interaction, suggesting that investors place greater weight on AI exposure when the fund manager has stronger prior credibility.</w:t>
      </w:r>
    </w:p>
    <w:p w14:paraId="2E2BD5E3">
      <w:pPr>
        <w:spacing w:after="120" w:line="276" w:lineRule="auto"/>
      </w:pPr>
      <w:r>
        <w:rPr>
          <w:rFonts w:ascii="Times New Roman" w:hAnsi="Times New Roman" w:eastAsia="Times New Roman"/>
          <w:sz w:val="24"/>
        </w:rPr>
        <w:t xml:space="preserve">This evidence is consistent with the performance-chasing literature in mutual funds. Investors appear more willing to allocate capital to AI-exposed funds when prior </w:t>
      </w:r>
      <w:r>
        <w:rPr>
          <w:rFonts w:ascii="Times New Roman" w:hAnsi="Times New Roman" w:eastAsia="Times New Roman"/>
          <w:b/>
          <w:sz w:val="24"/>
        </w:rPr>
        <w:t>alpha</w:t>
      </w:r>
      <w:r>
        <w:rPr>
          <w:rFonts w:ascii="Times New Roman" w:hAnsi="Times New Roman" w:eastAsia="Times New Roman"/>
          <w:sz w:val="24"/>
        </w:rPr>
        <w:t xml:space="preserve"> provides a signal of managerial ability. The result also suggests that investor attention to generative AI is filtered through beliefs about whether managers are capable of converting technological opportunities into portfolio performance. H2 is supported.</w:t>
      </w:r>
    </w:p>
    <w:p w14:paraId="7759312F">
      <w:pPr>
        <w:spacing w:before="160" w:after="120"/>
      </w:pPr>
      <w:r>
        <w:rPr>
          <w:rFonts w:ascii="Times New Roman" w:hAnsi="Times New Roman" w:eastAsia="Times New Roman"/>
          <w:b/>
          <w:sz w:val="28"/>
        </w:rPr>
        <w:t>4.5 Portfolio Allocation and Strategic Adjustment</w:t>
      </w:r>
    </w:p>
    <w:p w14:paraId="71DBF374">
      <w:pPr>
        <w:spacing w:after="120" w:line="276" w:lineRule="auto"/>
      </w:pPr>
      <w:r>
        <w:rPr>
          <w:rFonts w:ascii="Times New Roman" w:hAnsi="Times New Roman" w:eastAsia="Times New Roman"/>
          <w:sz w:val="24"/>
        </w:rPr>
        <w:t>The H3 analysis shifts from investor flows to fund portfolio behavior. The quarterly specifications examine whether AI-exposed funds changed their holdings after ChatGPT along two margins: the number of newly initiated AI stock positions and the total AI portfolio share.</w:t>
      </w:r>
    </w:p>
    <w:p w14:paraId="039A1AEB">
      <w:pPr>
        <w:spacing w:before="80" w:after="160"/>
        <w:jc w:val="center"/>
      </w:pPr>
      <w:r>
        <w:rPr>
          <w:rFonts w:ascii="Times New Roman" w:hAnsi="Times New Roman" w:eastAsia="Times New Roman"/>
          <w:i/>
          <w:sz w:val="24"/>
        </w:rPr>
        <w:t>NewAIPositions</w:t>
      </w:r>
      <w:r>
        <w:rPr>
          <w:rFonts w:ascii="Times New Roman" w:hAnsi="Times New Roman" w:eastAsia="Times New Roman"/>
          <w:i/>
          <w:sz w:val="24"/>
          <w:vertAlign w:val="subscript"/>
        </w:rPr>
        <w:t>i,q</w:t>
      </w:r>
      <w:r>
        <w:rPr>
          <w:rFonts w:ascii="Times New Roman" w:hAnsi="Times New Roman" w:eastAsia="Times New Roman"/>
          <w:sz w:val="24"/>
        </w:rPr>
        <w:t xml:space="preserve"> = </w:t>
      </w:r>
      <w:r>
        <w:rPr>
          <w:rFonts w:ascii="Times New Roman" w:hAnsi="Times New Roman" w:eastAsia="Times New Roman"/>
          <w:i/>
          <w:sz w:val="24"/>
        </w:rPr>
        <w:t>β(AIExposureZ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sz w:val="24"/>
        </w:rPr>
        <w:t xml:space="preserve">    （25）</w:t>
      </w:r>
    </w:p>
    <w:p w14:paraId="737F94EB">
      <w:pPr>
        <w:spacing w:before="80" w:after="160"/>
        <w:jc w:val="center"/>
      </w:pPr>
      <w:r>
        <w:rPr>
          <w:rFonts w:ascii="Times New Roman" w:hAnsi="Times New Roman" w:eastAsia="Times New Roman"/>
          <w:i/>
          <w:sz w:val="24"/>
        </w:rPr>
        <w:t>AIShare</w:t>
      </w:r>
      <w:r>
        <w:rPr>
          <w:rFonts w:ascii="Times New Roman" w:hAnsi="Times New Roman" w:eastAsia="Times New Roman"/>
          <w:i/>
          <w:sz w:val="24"/>
          <w:vertAlign w:val="subscript"/>
        </w:rPr>
        <w:t>i,q</w:t>
      </w:r>
      <w:r>
        <w:rPr>
          <w:rFonts w:ascii="Times New Roman" w:hAnsi="Times New Roman" w:eastAsia="Times New Roman"/>
          <w:sz w:val="24"/>
        </w:rPr>
        <w:t xml:space="preserve"> = </w:t>
      </w:r>
      <w:r>
        <w:rPr>
          <w:rFonts w:ascii="Times New Roman" w:hAnsi="Times New Roman" w:eastAsia="Times New Roman"/>
          <w:i/>
          <w:sz w:val="24"/>
        </w:rPr>
        <w:t>β(AIExposureZ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sz w:val="24"/>
        </w:rPr>
        <w:t xml:space="preserve">    （26）</w:t>
      </w:r>
    </w:p>
    <w:p w14:paraId="10D2BF2B">
      <w:pPr>
        <w:spacing w:before="160" w:after="80"/>
        <w:jc w:val="center"/>
      </w:pPr>
      <w:r>
        <w:rPr>
          <w:rFonts w:ascii="Times New Roman" w:hAnsi="Times New Roman" w:eastAsia="Times New Roman"/>
          <w:b/>
          <w:sz w:val="22"/>
        </w:rPr>
        <w:t>Table 4. Portfolio Adjustment Results</w:t>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5104190D">
        <w:trPr>
          <w:jc w:val="center"/>
        </w:trPr>
        <w:tc>
          <w:tcPr>
            <w:tcW w:w="1384" w:type="dxa"/>
            <w:shd w:val="clear" w:color="auto" w:fill="D9EAF7"/>
            <w:tcMar>
              <w:top w:w="80" w:type="dxa"/>
              <w:left w:w="70" w:type="dxa"/>
              <w:bottom w:w="80" w:type="dxa"/>
              <w:right w:w="70" w:type="dxa"/>
            </w:tcMar>
            <w:vAlign w:val="center"/>
          </w:tcPr>
          <w:p w14:paraId="5A0E2B1D">
            <w:pPr>
              <w:jc w:val="center"/>
            </w:pPr>
            <w:r>
              <w:rPr>
                <w:rFonts w:ascii="Times New Roman" w:hAnsi="Times New Roman" w:eastAsia="Times New Roman"/>
                <w:b/>
                <w:sz w:val="16"/>
              </w:rPr>
              <w:t>Parameter</w:t>
            </w:r>
          </w:p>
        </w:tc>
        <w:tc>
          <w:tcPr>
            <w:tcW w:w="1384" w:type="dxa"/>
            <w:shd w:val="clear" w:color="auto" w:fill="D9EAF7"/>
            <w:tcMar>
              <w:top w:w="80" w:type="dxa"/>
              <w:left w:w="70" w:type="dxa"/>
              <w:bottom w:w="80" w:type="dxa"/>
              <w:right w:w="70" w:type="dxa"/>
            </w:tcMar>
            <w:vAlign w:val="center"/>
          </w:tcPr>
          <w:p w14:paraId="201783AF">
            <w:pPr>
              <w:jc w:val="center"/>
            </w:pPr>
            <w:r>
              <w:rPr>
                <w:rFonts w:ascii="Times New Roman" w:hAnsi="Times New Roman" w:eastAsia="Times New Roman"/>
                <w:b/>
                <w:sz w:val="16"/>
              </w:rPr>
              <w:t>Coefficient</w:t>
            </w:r>
          </w:p>
        </w:tc>
        <w:tc>
          <w:tcPr>
            <w:tcW w:w="1384" w:type="dxa"/>
            <w:shd w:val="clear" w:color="auto" w:fill="D9EAF7"/>
            <w:tcMar>
              <w:top w:w="80" w:type="dxa"/>
              <w:left w:w="70" w:type="dxa"/>
              <w:bottom w:w="80" w:type="dxa"/>
              <w:right w:w="70" w:type="dxa"/>
            </w:tcMar>
            <w:vAlign w:val="center"/>
          </w:tcPr>
          <w:p w14:paraId="0012EE19">
            <w:pPr>
              <w:jc w:val="center"/>
            </w:pPr>
            <w:r>
              <w:rPr>
                <w:rFonts w:ascii="Times New Roman" w:hAnsi="Times New Roman" w:eastAsia="Times New Roman"/>
                <w:b/>
                <w:sz w:val="16"/>
              </w:rPr>
              <w:t>Std. Err.</w:t>
            </w:r>
          </w:p>
        </w:tc>
        <w:tc>
          <w:tcPr>
            <w:tcW w:w="1384" w:type="dxa"/>
            <w:shd w:val="clear" w:color="auto" w:fill="D9EAF7"/>
            <w:tcMar>
              <w:top w:w="80" w:type="dxa"/>
              <w:left w:w="70" w:type="dxa"/>
              <w:bottom w:w="80" w:type="dxa"/>
              <w:right w:w="70" w:type="dxa"/>
            </w:tcMar>
            <w:vAlign w:val="center"/>
          </w:tcPr>
          <w:p w14:paraId="1225A257">
            <w:pPr>
              <w:jc w:val="center"/>
            </w:pPr>
            <w:r>
              <w:rPr>
                <w:rFonts w:ascii="Times New Roman" w:hAnsi="Times New Roman" w:eastAsia="Times New Roman"/>
                <w:b/>
                <w:sz w:val="16"/>
              </w:rPr>
              <w:t>T-stat</w:t>
            </w:r>
          </w:p>
        </w:tc>
        <w:tc>
          <w:tcPr>
            <w:tcW w:w="1384" w:type="dxa"/>
            <w:shd w:val="clear" w:color="auto" w:fill="D9EAF7"/>
            <w:tcMar>
              <w:top w:w="80" w:type="dxa"/>
              <w:left w:w="70" w:type="dxa"/>
              <w:bottom w:w="80" w:type="dxa"/>
              <w:right w:w="70" w:type="dxa"/>
            </w:tcMar>
            <w:vAlign w:val="center"/>
          </w:tcPr>
          <w:p w14:paraId="0D4A736B">
            <w:pPr>
              <w:jc w:val="center"/>
            </w:pPr>
            <w:r>
              <w:rPr>
                <w:rFonts w:ascii="Times New Roman" w:hAnsi="Times New Roman" w:eastAsia="Times New Roman"/>
                <w:b/>
                <w:sz w:val="16"/>
              </w:rPr>
              <w:t>P-value</w:t>
            </w:r>
          </w:p>
        </w:tc>
        <w:tc>
          <w:tcPr>
            <w:tcW w:w="1384" w:type="dxa"/>
            <w:shd w:val="clear" w:color="auto" w:fill="D9EAF7"/>
            <w:tcMar>
              <w:top w:w="80" w:type="dxa"/>
              <w:left w:w="70" w:type="dxa"/>
              <w:bottom w:w="80" w:type="dxa"/>
              <w:right w:w="70" w:type="dxa"/>
            </w:tcMar>
            <w:vAlign w:val="center"/>
          </w:tcPr>
          <w:p w14:paraId="0F97757E">
            <w:pPr>
              <w:jc w:val="center"/>
            </w:pPr>
            <w:r>
              <w:rPr>
                <w:rFonts w:ascii="Times New Roman" w:hAnsi="Times New Roman" w:eastAsia="Times New Roman"/>
                <w:b/>
                <w:sz w:val="16"/>
              </w:rPr>
              <w:t>95% CI</w:t>
            </w:r>
          </w:p>
        </w:tc>
      </w:tr>
      <w:tr w14:paraId="4E9A4F76">
        <w:trPr>
          <w:jc w:val="center"/>
        </w:trPr>
        <w:tc>
          <w:tcPr>
            <w:tcW w:w="8304" w:type="dxa"/>
            <w:gridSpan w:val="6"/>
            <w:shd w:val="clear" w:color="auto" w:fill="F2F2F2"/>
            <w:tcMar>
              <w:top w:w="80" w:type="dxa"/>
              <w:left w:w="70" w:type="dxa"/>
              <w:bottom w:w="80" w:type="dxa"/>
              <w:right w:w="70" w:type="dxa"/>
            </w:tcMar>
          </w:tcPr>
          <w:p w14:paraId="1D10BC6B">
            <w:pPr>
              <w:jc w:val="left"/>
            </w:pPr>
            <w:r>
              <w:rPr>
                <w:rFonts w:ascii="Times New Roman" w:hAnsi="Times New Roman" w:eastAsia="Times New Roman"/>
                <w:b/>
                <w:sz w:val="16"/>
              </w:rPr>
              <w:t>Panel A: Dependent variable = new_ai_positions</w:t>
            </w:r>
          </w:p>
        </w:tc>
      </w:tr>
      <w:tr w14:paraId="3F4D4A9B">
        <w:trPr>
          <w:jc w:val="center"/>
        </w:trPr>
        <w:tc>
          <w:tcPr>
            <w:tcW w:w="1384" w:type="dxa"/>
            <w:tcMar>
              <w:top w:w="80" w:type="dxa"/>
              <w:left w:w="70" w:type="dxa"/>
              <w:bottom w:w="80" w:type="dxa"/>
              <w:right w:w="70" w:type="dxa"/>
            </w:tcMar>
            <w:vAlign w:val="center"/>
          </w:tcPr>
          <w:p w14:paraId="210C54F2">
            <w:pPr>
              <w:jc w:val="left"/>
            </w:pPr>
            <w:r>
              <w:rPr>
                <w:rFonts w:ascii="Times New Roman" w:hAnsi="Times New Roman" w:eastAsia="Times New Roman"/>
                <w:b w:val="0"/>
                <w:sz w:val="16"/>
              </w:rPr>
              <w:t>AI_post</w:t>
            </w:r>
          </w:p>
        </w:tc>
        <w:tc>
          <w:tcPr>
            <w:tcW w:w="1384" w:type="dxa"/>
            <w:tcMar>
              <w:top w:w="80" w:type="dxa"/>
              <w:left w:w="70" w:type="dxa"/>
              <w:bottom w:w="80" w:type="dxa"/>
              <w:right w:w="70" w:type="dxa"/>
            </w:tcMar>
            <w:vAlign w:val="center"/>
          </w:tcPr>
          <w:p w14:paraId="6DCC636E">
            <w:pPr>
              <w:jc w:val="center"/>
            </w:pPr>
            <w:r>
              <w:rPr>
                <w:rFonts w:ascii="Times New Roman" w:hAnsi="Times New Roman" w:eastAsia="Times New Roman"/>
                <w:b w:val="0"/>
                <w:sz w:val="16"/>
              </w:rPr>
              <w:t>-0.1146***</w:t>
            </w:r>
          </w:p>
        </w:tc>
        <w:tc>
          <w:tcPr>
            <w:tcW w:w="1384" w:type="dxa"/>
            <w:tcMar>
              <w:top w:w="80" w:type="dxa"/>
              <w:left w:w="70" w:type="dxa"/>
              <w:bottom w:w="80" w:type="dxa"/>
              <w:right w:w="70" w:type="dxa"/>
            </w:tcMar>
            <w:vAlign w:val="center"/>
          </w:tcPr>
          <w:p w14:paraId="3632B074">
            <w:pPr>
              <w:jc w:val="center"/>
            </w:pPr>
            <w:r>
              <w:rPr>
                <w:rFonts w:ascii="Times New Roman" w:hAnsi="Times New Roman" w:eastAsia="Times New Roman"/>
                <w:b w:val="0"/>
                <w:sz w:val="16"/>
              </w:rPr>
              <w:t>0.0174</w:t>
            </w:r>
          </w:p>
        </w:tc>
        <w:tc>
          <w:tcPr>
            <w:tcW w:w="1384" w:type="dxa"/>
            <w:tcMar>
              <w:top w:w="80" w:type="dxa"/>
              <w:left w:w="70" w:type="dxa"/>
              <w:bottom w:w="80" w:type="dxa"/>
              <w:right w:w="70" w:type="dxa"/>
            </w:tcMar>
            <w:vAlign w:val="center"/>
          </w:tcPr>
          <w:p w14:paraId="4454B5E5">
            <w:pPr>
              <w:jc w:val="center"/>
            </w:pPr>
            <w:r>
              <w:rPr>
                <w:rFonts w:ascii="Times New Roman" w:hAnsi="Times New Roman" w:eastAsia="Times New Roman"/>
                <w:b w:val="0"/>
                <w:sz w:val="16"/>
              </w:rPr>
              <w:t>-6.6000</w:t>
            </w:r>
          </w:p>
        </w:tc>
        <w:tc>
          <w:tcPr>
            <w:tcW w:w="1384" w:type="dxa"/>
            <w:tcMar>
              <w:top w:w="80" w:type="dxa"/>
              <w:left w:w="70" w:type="dxa"/>
              <w:bottom w:w="80" w:type="dxa"/>
              <w:right w:w="70" w:type="dxa"/>
            </w:tcMar>
            <w:vAlign w:val="center"/>
          </w:tcPr>
          <w:p w14:paraId="1C43C44E">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058E5395">
            <w:pPr>
              <w:jc w:val="center"/>
            </w:pPr>
            <w:r>
              <w:rPr>
                <w:rFonts w:ascii="Times New Roman" w:hAnsi="Times New Roman" w:eastAsia="Times New Roman"/>
                <w:b w:val="0"/>
                <w:sz w:val="16"/>
              </w:rPr>
              <w:t>[-0.1486, -0.0806]</w:t>
            </w:r>
          </w:p>
        </w:tc>
      </w:tr>
      <w:tr w14:paraId="65862507">
        <w:trPr>
          <w:jc w:val="center"/>
        </w:trPr>
        <w:tc>
          <w:tcPr>
            <w:tcW w:w="1384" w:type="dxa"/>
            <w:tcMar>
              <w:top w:w="80" w:type="dxa"/>
              <w:left w:w="70" w:type="dxa"/>
              <w:bottom w:w="80" w:type="dxa"/>
              <w:right w:w="70" w:type="dxa"/>
            </w:tcMar>
            <w:vAlign w:val="center"/>
          </w:tcPr>
          <w:p w14:paraId="5CC8CA86">
            <w:pPr>
              <w:jc w:val="left"/>
            </w:pPr>
            <w:r>
              <w:rPr>
                <w:rFonts w:ascii="Times New Roman" w:hAnsi="Times New Roman" w:eastAsia="Times New Roman"/>
                <w:b w:val="0"/>
                <w:sz w:val="16"/>
              </w:rPr>
              <w:t>log_mtna_lag</w:t>
            </w:r>
          </w:p>
        </w:tc>
        <w:tc>
          <w:tcPr>
            <w:tcW w:w="1384" w:type="dxa"/>
            <w:tcMar>
              <w:top w:w="80" w:type="dxa"/>
              <w:left w:w="70" w:type="dxa"/>
              <w:bottom w:w="80" w:type="dxa"/>
              <w:right w:w="70" w:type="dxa"/>
            </w:tcMar>
            <w:vAlign w:val="center"/>
          </w:tcPr>
          <w:p w14:paraId="5D9FDE0C">
            <w:pPr>
              <w:jc w:val="center"/>
            </w:pPr>
            <w:r>
              <w:rPr>
                <w:rFonts w:ascii="Times New Roman" w:hAnsi="Times New Roman" w:eastAsia="Times New Roman"/>
                <w:b w:val="0"/>
                <w:sz w:val="16"/>
              </w:rPr>
              <w:t>0.0020</w:t>
            </w:r>
          </w:p>
        </w:tc>
        <w:tc>
          <w:tcPr>
            <w:tcW w:w="1384" w:type="dxa"/>
            <w:tcMar>
              <w:top w:w="80" w:type="dxa"/>
              <w:left w:w="70" w:type="dxa"/>
              <w:bottom w:w="80" w:type="dxa"/>
              <w:right w:w="70" w:type="dxa"/>
            </w:tcMar>
            <w:vAlign w:val="center"/>
          </w:tcPr>
          <w:p w14:paraId="4DFC15CA">
            <w:pPr>
              <w:jc w:val="center"/>
            </w:pPr>
            <w:r>
              <w:rPr>
                <w:rFonts w:ascii="Times New Roman" w:hAnsi="Times New Roman" w:eastAsia="Times New Roman"/>
                <w:b w:val="0"/>
                <w:sz w:val="16"/>
              </w:rPr>
              <w:t>0.0208</w:t>
            </w:r>
          </w:p>
        </w:tc>
        <w:tc>
          <w:tcPr>
            <w:tcW w:w="1384" w:type="dxa"/>
            <w:tcMar>
              <w:top w:w="80" w:type="dxa"/>
              <w:left w:w="70" w:type="dxa"/>
              <w:bottom w:w="80" w:type="dxa"/>
              <w:right w:w="70" w:type="dxa"/>
            </w:tcMar>
            <w:vAlign w:val="center"/>
          </w:tcPr>
          <w:p w14:paraId="7A86CC01">
            <w:pPr>
              <w:jc w:val="center"/>
            </w:pPr>
            <w:r>
              <w:rPr>
                <w:rFonts w:ascii="Times New Roman" w:hAnsi="Times New Roman" w:eastAsia="Times New Roman"/>
                <w:b w:val="0"/>
                <w:sz w:val="16"/>
              </w:rPr>
              <w:t>0.0975</w:t>
            </w:r>
          </w:p>
        </w:tc>
        <w:tc>
          <w:tcPr>
            <w:tcW w:w="1384" w:type="dxa"/>
            <w:tcMar>
              <w:top w:w="80" w:type="dxa"/>
              <w:left w:w="70" w:type="dxa"/>
              <w:bottom w:w="80" w:type="dxa"/>
              <w:right w:w="70" w:type="dxa"/>
            </w:tcMar>
            <w:vAlign w:val="center"/>
          </w:tcPr>
          <w:p w14:paraId="21F3C765">
            <w:pPr>
              <w:jc w:val="center"/>
            </w:pPr>
            <w:r>
              <w:rPr>
                <w:rFonts w:ascii="Times New Roman" w:hAnsi="Times New Roman" w:eastAsia="Times New Roman"/>
                <w:b w:val="0"/>
                <w:sz w:val="16"/>
              </w:rPr>
              <w:t>0.9223</w:t>
            </w:r>
          </w:p>
        </w:tc>
        <w:tc>
          <w:tcPr>
            <w:tcW w:w="1384" w:type="dxa"/>
            <w:tcMar>
              <w:top w:w="80" w:type="dxa"/>
              <w:left w:w="70" w:type="dxa"/>
              <w:bottom w:w="80" w:type="dxa"/>
              <w:right w:w="70" w:type="dxa"/>
            </w:tcMar>
            <w:vAlign w:val="center"/>
          </w:tcPr>
          <w:p w14:paraId="40E8B53C">
            <w:pPr>
              <w:jc w:val="center"/>
            </w:pPr>
            <w:r>
              <w:rPr>
                <w:rFonts w:ascii="Times New Roman" w:hAnsi="Times New Roman" w:eastAsia="Times New Roman"/>
                <w:b w:val="0"/>
                <w:sz w:val="16"/>
              </w:rPr>
              <w:t>[-0.0387, 0.0427]</w:t>
            </w:r>
          </w:p>
        </w:tc>
      </w:tr>
      <w:tr w14:paraId="0EDD9347">
        <w:trPr>
          <w:jc w:val="center"/>
        </w:trPr>
        <w:tc>
          <w:tcPr>
            <w:tcW w:w="1384" w:type="dxa"/>
            <w:tcMar>
              <w:top w:w="80" w:type="dxa"/>
              <w:left w:w="70" w:type="dxa"/>
              <w:bottom w:w="80" w:type="dxa"/>
              <w:right w:w="70" w:type="dxa"/>
            </w:tcMar>
            <w:vAlign w:val="center"/>
          </w:tcPr>
          <w:p w14:paraId="2A6F39A6">
            <w:pPr>
              <w:jc w:val="left"/>
            </w:pPr>
            <w:r>
              <w:rPr>
                <w:rFonts w:ascii="Times New Roman" w:hAnsi="Times New Roman" w:eastAsia="Times New Roman"/>
                <w:b w:val="0"/>
                <w:sz w:val="16"/>
              </w:rPr>
              <w:t>mret_lag</w:t>
            </w:r>
          </w:p>
        </w:tc>
        <w:tc>
          <w:tcPr>
            <w:tcW w:w="1384" w:type="dxa"/>
            <w:tcMar>
              <w:top w:w="80" w:type="dxa"/>
              <w:left w:w="70" w:type="dxa"/>
              <w:bottom w:w="80" w:type="dxa"/>
              <w:right w:w="70" w:type="dxa"/>
            </w:tcMar>
            <w:vAlign w:val="center"/>
          </w:tcPr>
          <w:p w14:paraId="7DE1E336">
            <w:pPr>
              <w:jc w:val="center"/>
            </w:pPr>
            <w:r>
              <w:rPr>
                <w:rFonts w:ascii="Times New Roman" w:hAnsi="Times New Roman" w:eastAsia="Times New Roman"/>
                <w:b w:val="0"/>
                <w:sz w:val="16"/>
              </w:rPr>
              <w:t>0.1674</w:t>
            </w:r>
          </w:p>
        </w:tc>
        <w:tc>
          <w:tcPr>
            <w:tcW w:w="1384" w:type="dxa"/>
            <w:tcMar>
              <w:top w:w="80" w:type="dxa"/>
              <w:left w:w="70" w:type="dxa"/>
              <w:bottom w:w="80" w:type="dxa"/>
              <w:right w:w="70" w:type="dxa"/>
            </w:tcMar>
            <w:vAlign w:val="center"/>
          </w:tcPr>
          <w:p w14:paraId="4EEE5208">
            <w:pPr>
              <w:jc w:val="center"/>
            </w:pPr>
            <w:r>
              <w:rPr>
                <w:rFonts w:ascii="Times New Roman" w:hAnsi="Times New Roman" w:eastAsia="Times New Roman"/>
                <w:b w:val="0"/>
                <w:sz w:val="16"/>
              </w:rPr>
              <w:t>0.2417</w:t>
            </w:r>
          </w:p>
        </w:tc>
        <w:tc>
          <w:tcPr>
            <w:tcW w:w="1384" w:type="dxa"/>
            <w:tcMar>
              <w:top w:w="80" w:type="dxa"/>
              <w:left w:w="70" w:type="dxa"/>
              <w:bottom w:w="80" w:type="dxa"/>
              <w:right w:w="70" w:type="dxa"/>
            </w:tcMar>
            <w:vAlign w:val="center"/>
          </w:tcPr>
          <w:p w14:paraId="58F5B172">
            <w:pPr>
              <w:jc w:val="center"/>
            </w:pPr>
            <w:r>
              <w:rPr>
                <w:rFonts w:ascii="Times New Roman" w:hAnsi="Times New Roman" w:eastAsia="Times New Roman"/>
                <w:b w:val="0"/>
                <w:sz w:val="16"/>
              </w:rPr>
              <w:t>0.6924</w:t>
            </w:r>
          </w:p>
        </w:tc>
        <w:tc>
          <w:tcPr>
            <w:tcW w:w="1384" w:type="dxa"/>
            <w:tcMar>
              <w:top w:w="80" w:type="dxa"/>
              <w:left w:w="70" w:type="dxa"/>
              <w:bottom w:w="80" w:type="dxa"/>
              <w:right w:w="70" w:type="dxa"/>
            </w:tcMar>
            <w:vAlign w:val="center"/>
          </w:tcPr>
          <w:p w14:paraId="73FA2EFF">
            <w:pPr>
              <w:jc w:val="center"/>
            </w:pPr>
            <w:r>
              <w:rPr>
                <w:rFonts w:ascii="Times New Roman" w:hAnsi="Times New Roman" w:eastAsia="Times New Roman"/>
                <w:b w:val="0"/>
                <w:sz w:val="16"/>
              </w:rPr>
              <w:t>0.4887</w:t>
            </w:r>
          </w:p>
        </w:tc>
        <w:tc>
          <w:tcPr>
            <w:tcW w:w="1384" w:type="dxa"/>
            <w:tcMar>
              <w:top w:w="80" w:type="dxa"/>
              <w:left w:w="70" w:type="dxa"/>
              <w:bottom w:w="80" w:type="dxa"/>
              <w:right w:w="70" w:type="dxa"/>
            </w:tcMar>
            <w:vAlign w:val="center"/>
          </w:tcPr>
          <w:p w14:paraId="6C66BB08">
            <w:pPr>
              <w:jc w:val="center"/>
            </w:pPr>
            <w:r>
              <w:rPr>
                <w:rFonts w:ascii="Times New Roman" w:hAnsi="Times New Roman" w:eastAsia="Times New Roman"/>
                <w:b w:val="0"/>
                <w:sz w:val="16"/>
              </w:rPr>
              <w:t>[-0.3064, 0.6411]</w:t>
            </w:r>
          </w:p>
        </w:tc>
      </w:tr>
      <w:tr w14:paraId="34BC55AD">
        <w:trPr>
          <w:jc w:val="center"/>
        </w:trPr>
        <w:tc>
          <w:tcPr>
            <w:tcW w:w="1384" w:type="dxa"/>
            <w:tcMar>
              <w:top w:w="80" w:type="dxa"/>
              <w:left w:w="70" w:type="dxa"/>
              <w:bottom w:w="80" w:type="dxa"/>
              <w:right w:w="70" w:type="dxa"/>
            </w:tcMar>
            <w:vAlign w:val="center"/>
          </w:tcPr>
          <w:p w14:paraId="6E21E837">
            <w:pPr>
              <w:jc w:val="left"/>
            </w:pPr>
            <w:r>
              <w:rPr>
                <w:rFonts w:ascii="Times New Roman" w:hAnsi="Times New Roman" w:eastAsia="Times New Roman"/>
                <w:b w:val="0"/>
                <w:sz w:val="16"/>
              </w:rPr>
              <w:t>flow_lag</w:t>
            </w:r>
          </w:p>
        </w:tc>
        <w:tc>
          <w:tcPr>
            <w:tcW w:w="1384" w:type="dxa"/>
            <w:tcMar>
              <w:top w:w="80" w:type="dxa"/>
              <w:left w:w="70" w:type="dxa"/>
              <w:bottom w:w="80" w:type="dxa"/>
              <w:right w:w="70" w:type="dxa"/>
            </w:tcMar>
            <w:vAlign w:val="center"/>
          </w:tcPr>
          <w:p w14:paraId="4F61F3C5">
            <w:pPr>
              <w:jc w:val="center"/>
            </w:pPr>
            <w:r>
              <w:rPr>
                <w:rFonts w:ascii="Times New Roman" w:hAnsi="Times New Roman" w:eastAsia="Times New Roman"/>
                <w:b w:val="0"/>
                <w:sz w:val="16"/>
              </w:rPr>
              <w:t>0.0096</w:t>
            </w:r>
          </w:p>
        </w:tc>
        <w:tc>
          <w:tcPr>
            <w:tcW w:w="1384" w:type="dxa"/>
            <w:tcMar>
              <w:top w:w="80" w:type="dxa"/>
              <w:left w:w="70" w:type="dxa"/>
              <w:bottom w:w="80" w:type="dxa"/>
              <w:right w:w="70" w:type="dxa"/>
            </w:tcMar>
            <w:vAlign w:val="center"/>
          </w:tcPr>
          <w:p w14:paraId="6CC48BE1">
            <w:pPr>
              <w:jc w:val="center"/>
            </w:pPr>
            <w:r>
              <w:rPr>
                <w:rFonts w:ascii="Times New Roman" w:hAnsi="Times New Roman" w:eastAsia="Times New Roman"/>
                <w:b w:val="0"/>
                <w:sz w:val="16"/>
              </w:rPr>
              <w:t>0.1066</w:t>
            </w:r>
          </w:p>
        </w:tc>
        <w:tc>
          <w:tcPr>
            <w:tcW w:w="1384" w:type="dxa"/>
            <w:tcMar>
              <w:top w:w="80" w:type="dxa"/>
              <w:left w:w="70" w:type="dxa"/>
              <w:bottom w:w="80" w:type="dxa"/>
              <w:right w:w="70" w:type="dxa"/>
            </w:tcMar>
            <w:vAlign w:val="center"/>
          </w:tcPr>
          <w:p w14:paraId="534F806B">
            <w:pPr>
              <w:jc w:val="center"/>
            </w:pPr>
            <w:r>
              <w:rPr>
                <w:rFonts w:ascii="Times New Roman" w:hAnsi="Times New Roman" w:eastAsia="Times New Roman"/>
                <w:b w:val="0"/>
                <w:sz w:val="16"/>
              </w:rPr>
              <w:t>0.0899</w:t>
            </w:r>
          </w:p>
        </w:tc>
        <w:tc>
          <w:tcPr>
            <w:tcW w:w="1384" w:type="dxa"/>
            <w:tcMar>
              <w:top w:w="80" w:type="dxa"/>
              <w:left w:w="70" w:type="dxa"/>
              <w:bottom w:w="80" w:type="dxa"/>
              <w:right w:w="70" w:type="dxa"/>
            </w:tcMar>
            <w:vAlign w:val="center"/>
          </w:tcPr>
          <w:p w14:paraId="5830A9C8">
            <w:pPr>
              <w:jc w:val="center"/>
            </w:pPr>
            <w:r>
              <w:rPr>
                <w:rFonts w:ascii="Times New Roman" w:hAnsi="Times New Roman" w:eastAsia="Times New Roman"/>
                <w:b w:val="0"/>
                <w:sz w:val="16"/>
              </w:rPr>
              <w:t>0.9284</w:t>
            </w:r>
          </w:p>
        </w:tc>
        <w:tc>
          <w:tcPr>
            <w:tcW w:w="1384" w:type="dxa"/>
            <w:tcMar>
              <w:top w:w="80" w:type="dxa"/>
              <w:left w:w="70" w:type="dxa"/>
              <w:bottom w:w="80" w:type="dxa"/>
              <w:right w:w="70" w:type="dxa"/>
            </w:tcMar>
            <w:vAlign w:val="center"/>
          </w:tcPr>
          <w:p w14:paraId="0C8A4353">
            <w:pPr>
              <w:jc w:val="center"/>
            </w:pPr>
            <w:r>
              <w:rPr>
                <w:rFonts w:ascii="Times New Roman" w:hAnsi="Times New Roman" w:eastAsia="Times New Roman"/>
                <w:b w:val="0"/>
                <w:sz w:val="16"/>
              </w:rPr>
              <w:t>[-0.1994, 0.2185]</w:t>
            </w:r>
          </w:p>
        </w:tc>
      </w:tr>
      <w:tr w14:paraId="30DDB0D3">
        <w:trPr>
          <w:jc w:val="center"/>
        </w:trPr>
        <w:tc>
          <w:tcPr>
            <w:tcW w:w="1384" w:type="dxa"/>
            <w:tcMar>
              <w:top w:w="80" w:type="dxa"/>
              <w:left w:w="70" w:type="dxa"/>
              <w:bottom w:w="80" w:type="dxa"/>
              <w:right w:w="70" w:type="dxa"/>
            </w:tcMar>
            <w:vAlign w:val="center"/>
          </w:tcPr>
          <w:p w14:paraId="14AF3380">
            <w:pPr>
              <w:jc w:val="left"/>
            </w:pPr>
            <w:r>
              <w:rPr>
                <w:rFonts w:ascii="Times New Roman" w:hAnsi="Times New Roman" w:eastAsia="Times New Roman"/>
                <w:b/>
                <w:sz w:val="16"/>
              </w:rPr>
              <w:t>Observations</w:t>
            </w:r>
          </w:p>
        </w:tc>
        <w:tc>
          <w:tcPr>
            <w:tcW w:w="1384" w:type="dxa"/>
            <w:tcMar>
              <w:top w:w="80" w:type="dxa"/>
              <w:left w:w="70" w:type="dxa"/>
              <w:bottom w:w="80" w:type="dxa"/>
              <w:right w:w="70" w:type="dxa"/>
            </w:tcMar>
            <w:vAlign w:val="center"/>
          </w:tcPr>
          <w:p w14:paraId="585C8DF9">
            <w:pPr>
              <w:jc w:val="center"/>
            </w:pPr>
            <w:r>
              <w:rPr>
                <w:rFonts w:ascii="Times New Roman" w:hAnsi="Times New Roman" w:eastAsia="Times New Roman"/>
                <w:b w:val="0"/>
                <w:sz w:val="16"/>
              </w:rPr>
              <w:t>28,016</w:t>
            </w:r>
          </w:p>
        </w:tc>
        <w:tc>
          <w:tcPr>
            <w:tcW w:w="1384" w:type="dxa"/>
            <w:tcMar>
              <w:top w:w="80" w:type="dxa"/>
              <w:left w:w="70" w:type="dxa"/>
              <w:bottom w:w="80" w:type="dxa"/>
              <w:right w:w="70" w:type="dxa"/>
            </w:tcMar>
            <w:vAlign w:val="center"/>
          </w:tcPr>
          <w:p w14:paraId="33A87BF5">
            <w:pPr>
              <w:jc w:val="center"/>
            </w:pPr>
          </w:p>
        </w:tc>
        <w:tc>
          <w:tcPr>
            <w:tcW w:w="1384" w:type="dxa"/>
            <w:tcMar>
              <w:top w:w="80" w:type="dxa"/>
              <w:left w:w="70" w:type="dxa"/>
              <w:bottom w:w="80" w:type="dxa"/>
              <w:right w:w="70" w:type="dxa"/>
            </w:tcMar>
            <w:vAlign w:val="center"/>
          </w:tcPr>
          <w:p w14:paraId="08DD5FF4">
            <w:pPr>
              <w:jc w:val="center"/>
            </w:pPr>
          </w:p>
        </w:tc>
        <w:tc>
          <w:tcPr>
            <w:tcW w:w="1384" w:type="dxa"/>
            <w:tcMar>
              <w:top w:w="80" w:type="dxa"/>
              <w:left w:w="70" w:type="dxa"/>
              <w:bottom w:w="80" w:type="dxa"/>
              <w:right w:w="70" w:type="dxa"/>
            </w:tcMar>
            <w:vAlign w:val="center"/>
          </w:tcPr>
          <w:p w14:paraId="7FBFDDC1">
            <w:pPr>
              <w:jc w:val="center"/>
            </w:pPr>
          </w:p>
        </w:tc>
        <w:tc>
          <w:tcPr>
            <w:tcW w:w="1384" w:type="dxa"/>
            <w:tcMar>
              <w:top w:w="80" w:type="dxa"/>
              <w:left w:w="70" w:type="dxa"/>
              <w:bottom w:w="80" w:type="dxa"/>
              <w:right w:w="70" w:type="dxa"/>
            </w:tcMar>
            <w:vAlign w:val="center"/>
          </w:tcPr>
          <w:p w14:paraId="3AAC5E3B">
            <w:pPr>
              <w:jc w:val="center"/>
            </w:pPr>
          </w:p>
        </w:tc>
      </w:tr>
      <w:tr w14:paraId="367A4CEB">
        <w:trPr>
          <w:jc w:val="center"/>
        </w:trPr>
        <w:tc>
          <w:tcPr>
            <w:tcW w:w="1384" w:type="dxa"/>
            <w:tcMar>
              <w:top w:w="80" w:type="dxa"/>
              <w:left w:w="70" w:type="dxa"/>
              <w:bottom w:w="80" w:type="dxa"/>
              <w:right w:w="70" w:type="dxa"/>
            </w:tcMar>
            <w:vAlign w:val="center"/>
          </w:tcPr>
          <w:p w14:paraId="7694606A">
            <w:pPr>
              <w:jc w:val="left"/>
            </w:pPr>
            <w:r>
              <w:rPr>
                <w:rFonts w:ascii="Times New Roman" w:hAnsi="Times New Roman" w:eastAsia="Times New Roman"/>
                <w:b/>
                <w:sz w:val="16"/>
              </w:rPr>
              <w:t>R-squared</w:t>
            </w:r>
          </w:p>
        </w:tc>
        <w:tc>
          <w:tcPr>
            <w:tcW w:w="1384" w:type="dxa"/>
            <w:tcMar>
              <w:top w:w="80" w:type="dxa"/>
              <w:left w:w="70" w:type="dxa"/>
              <w:bottom w:w="80" w:type="dxa"/>
              <w:right w:w="70" w:type="dxa"/>
            </w:tcMar>
            <w:vAlign w:val="center"/>
          </w:tcPr>
          <w:p w14:paraId="10B3231E">
            <w:pPr>
              <w:jc w:val="center"/>
            </w:pPr>
            <w:r>
              <w:rPr>
                <w:rFonts w:ascii="Times New Roman" w:hAnsi="Times New Roman" w:eastAsia="Times New Roman"/>
                <w:b w:val="0"/>
                <w:sz w:val="16"/>
              </w:rPr>
              <w:t>0.0015</w:t>
            </w:r>
          </w:p>
        </w:tc>
        <w:tc>
          <w:tcPr>
            <w:tcW w:w="1384" w:type="dxa"/>
            <w:tcMar>
              <w:top w:w="80" w:type="dxa"/>
              <w:left w:w="70" w:type="dxa"/>
              <w:bottom w:w="80" w:type="dxa"/>
              <w:right w:w="70" w:type="dxa"/>
            </w:tcMar>
            <w:vAlign w:val="center"/>
          </w:tcPr>
          <w:p w14:paraId="4C8F1E2C">
            <w:pPr>
              <w:jc w:val="center"/>
            </w:pPr>
          </w:p>
        </w:tc>
        <w:tc>
          <w:tcPr>
            <w:tcW w:w="1384" w:type="dxa"/>
            <w:tcMar>
              <w:top w:w="80" w:type="dxa"/>
              <w:left w:w="70" w:type="dxa"/>
              <w:bottom w:w="80" w:type="dxa"/>
              <w:right w:w="70" w:type="dxa"/>
            </w:tcMar>
            <w:vAlign w:val="center"/>
          </w:tcPr>
          <w:p w14:paraId="0003C53B">
            <w:pPr>
              <w:jc w:val="center"/>
            </w:pPr>
          </w:p>
        </w:tc>
        <w:tc>
          <w:tcPr>
            <w:tcW w:w="1384" w:type="dxa"/>
            <w:tcMar>
              <w:top w:w="80" w:type="dxa"/>
              <w:left w:w="70" w:type="dxa"/>
              <w:bottom w:w="80" w:type="dxa"/>
              <w:right w:w="70" w:type="dxa"/>
            </w:tcMar>
            <w:vAlign w:val="center"/>
          </w:tcPr>
          <w:p w14:paraId="6DB5B2E6">
            <w:pPr>
              <w:jc w:val="center"/>
            </w:pPr>
          </w:p>
        </w:tc>
        <w:tc>
          <w:tcPr>
            <w:tcW w:w="1384" w:type="dxa"/>
            <w:tcMar>
              <w:top w:w="80" w:type="dxa"/>
              <w:left w:w="70" w:type="dxa"/>
              <w:bottom w:w="80" w:type="dxa"/>
              <w:right w:w="70" w:type="dxa"/>
            </w:tcMar>
            <w:vAlign w:val="center"/>
          </w:tcPr>
          <w:p w14:paraId="6DEF29FB">
            <w:pPr>
              <w:jc w:val="center"/>
            </w:pPr>
          </w:p>
        </w:tc>
      </w:tr>
      <w:tr w14:paraId="3B194520">
        <w:trPr>
          <w:jc w:val="center"/>
        </w:trPr>
        <w:tc>
          <w:tcPr>
            <w:tcW w:w="1384" w:type="dxa"/>
            <w:tcMar>
              <w:top w:w="80" w:type="dxa"/>
              <w:left w:w="70" w:type="dxa"/>
              <w:bottom w:w="80" w:type="dxa"/>
              <w:right w:w="70" w:type="dxa"/>
            </w:tcMar>
            <w:vAlign w:val="center"/>
          </w:tcPr>
          <w:p w14:paraId="5FABC9B3">
            <w:pPr>
              <w:jc w:val="left"/>
            </w:pPr>
            <w:r>
              <w:rPr>
                <w:rFonts w:ascii="Times New Roman" w:hAnsi="Times New Roman" w:eastAsia="Times New Roman"/>
                <w:b/>
                <w:sz w:val="16"/>
              </w:rPr>
              <w:t>Entities</w:t>
            </w:r>
          </w:p>
        </w:tc>
        <w:tc>
          <w:tcPr>
            <w:tcW w:w="1384" w:type="dxa"/>
            <w:tcMar>
              <w:top w:w="80" w:type="dxa"/>
              <w:left w:w="70" w:type="dxa"/>
              <w:bottom w:w="80" w:type="dxa"/>
              <w:right w:w="70" w:type="dxa"/>
            </w:tcMar>
            <w:vAlign w:val="center"/>
          </w:tcPr>
          <w:p w14:paraId="1A820CEC">
            <w:pPr>
              <w:jc w:val="center"/>
            </w:pPr>
            <w:r>
              <w:rPr>
                <w:rFonts w:ascii="Times New Roman" w:hAnsi="Times New Roman" w:eastAsia="Times New Roman"/>
                <w:b w:val="0"/>
                <w:sz w:val="16"/>
              </w:rPr>
              <w:t>1,269</w:t>
            </w:r>
          </w:p>
        </w:tc>
        <w:tc>
          <w:tcPr>
            <w:tcW w:w="1384" w:type="dxa"/>
            <w:tcMar>
              <w:top w:w="80" w:type="dxa"/>
              <w:left w:w="70" w:type="dxa"/>
              <w:bottom w:w="80" w:type="dxa"/>
              <w:right w:w="70" w:type="dxa"/>
            </w:tcMar>
            <w:vAlign w:val="center"/>
          </w:tcPr>
          <w:p w14:paraId="604FAE87">
            <w:pPr>
              <w:jc w:val="center"/>
            </w:pPr>
          </w:p>
        </w:tc>
        <w:tc>
          <w:tcPr>
            <w:tcW w:w="1384" w:type="dxa"/>
            <w:tcMar>
              <w:top w:w="80" w:type="dxa"/>
              <w:left w:w="70" w:type="dxa"/>
              <w:bottom w:w="80" w:type="dxa"/>
              <w:right w:w="70" w:type="dxa"/>
            </w:tcMar>
            <w:vAlign w:val="center"/>
          </w:tcPr>
          <w:p w14:paraId="4C004DB1">
            <w:pPr>
              <w:jc w:val="center"/>
            </w:pPr>
          </w:p>
        </w:tc>
        <w:tc>
          <w:tcPr>
            <w:tcW w:w="1384" w:type="dxa"/>
            <w:tcMar>
              <w:top w:w="80" w:type="dxa"/>
              <w:left w:w="70" w:type="dxa"/>
              <w:bottom w:w="80" w:type="dxa"/>
              <w:right w:w="70" w:type="dxa"/>
            </w:tcMar>
            <w:vAlign w:val="center"/>
          </w:tcPr>
          <w:p w14:paraId="6B9790FF">
            <w:pPr>
              <w:jc w:val="center"/>
            </w:pPr>
          </w:p>
        </w:tc>
        <w:tc>
          <w:tcPr>
            <w:tcW w:w="1384" w:type="dxa"/>
            <w:tcMar>
              <w:top w:w="80" w:type="dxa"/>
              <w:left w:w="70" w:type="dxa"/>
              <w:bottom w:w="80" w:type="dxa"/>
              <w:right w:w="70" w:type="dxa"/>
            </w:tcMar>
            <w:vAlign w:val="center"/>
          </w:tcPr>
          <w:p w14:paraId="1868F8C9">
            <w:pPr>
              <w:jc w:val="center"/>
            </w:pPr>
          </w:p>
        </w:tc>
      </w:tr>
      <w:tr w14:paraId="70171FFE">
        <w:trPr>
          <w:jc w:val="center"/>
        </w:trPr>
        <w:tc>
          <w:tcPr>
            <w:tcW w:w="1384" w:type="dxa"/>
            <w:tcMar>
              <w:top w:w="80" w:type="dxa"/>
              <w:left w:w="70" w:type="dxa"/>
              <w:bottom w:w="80" w:type="dxa"/>
              <w:right w:w="70" w:type="dxa"/>
            </w:tcMar>
            <w:vAlign w:val="center"/>
          </w:tcPr>
          <w:p w14:paraId="23DE5E88">
            <w:pPr>
              <w:jc w:val="left"/>
            </w:pPr>
            <w:r>
              <w:rPr>
                <w:rFonts w:ascii="Times New Roman" w:hAnsi="Times New Roman" w:eastAsia="Times New Roman"/>
                <w:b/>
                <w:sz w:val="16"/>
              </w:rPr>
              <w:t>Time periods</w:t>
            </w:r>
          </w:p>
        </w:tc>
        <w:tc>
          <w:tcPr>
            <w:tcW w:w="1384" w:type="dxa"/>
            <w:tcMar>
              <w:top w:w="80" w:type="dxa"/>
              <w:left w:w="70" w:type="dxa"/>
              <w:bottom w:w="80" w:type="dxa"/>
              <w:right w:w="70" w:type="dxa"/>
            </w:tcMar>
            <w:vAlign w:val="center"/>
          </w:tcPr>
          <w:p w14:paraId="1D52741B">
            <w:pPr>
              <w:jc w:val="center"/>
            </w:pPr>
            <w:r>
              <w:rPr>
                <w:rFonts w:ascii="Times New Roman" w:hAnsi="Times New Roman" w:eastAsia="Times New Roman"/>
                <w:b w:val="0"/>
                <w:sz w:val="16"/>
              </w:rPr>
              <w:t>24</w:t>
            </w:r>
          </w:p>
        </w:tc>
        <w:tc>
          <w:tcPr>
            <w:tcW w:w="1384" w:type="dxa"/>
            <w:tcMar>
              <w:top w:w="80" w:type="dxa"/>
              <w:left w:w="70" w:type="dxa"/>
              <w:bottom w:w="80" w:type="dxa"/>
              <w:right w:w="70" w:type="dxa"/>
            </w:tcMar>
            <w:vAlign w:val="center"/>
          </w:tcPr>
          <w:p w14:paraId="1DE62212">
            <w:pPr>
              <w:jc w:val="center"/>
            </w:pPr>
          </w:p>
        </w:tc>
        <w:tc>
          <w:tcPr>
            <w:tcW w:w="1384" w:type="dxa"/>
            <w:tcMar>
              <w:top w:w="80" w:type="dxa"/>
              <w:left w:w="70" w:type="dxa"/>
              <w:bottom w:w="80" w:type="dxa"/>
              <w:right w:w="70" w:type="dxa"/>
            </w:tcMar>
            <w:vAlign w:val="center"/>
          </w:tcPr>
          <w:p w14:paraId="3612BF21">
            <w:pPr>
              <w:jc w:val="center"/>
            </w:pPr>
          </w:p>
        </w:tc>
        <w:tc>
          <w:tcPr>
            <w:tcW w:w="1384" w:type="dxa"/>
            <w:tcMar>
              <w:top w:w="80" w:type="dxa"/>
              <w:left w:w="70" w:type="dxa"/>
              <w:bottom w:w="80" w:type="dxa"/>
              <w:right w:w="70" w:type="dxa"/>
            </w:tcMar>
            <w:vAlign w:val="center"/>
          </w:tcPr>
          <w:p w14:paraId="7AC95574">
            <w:pPr>
              <w:jc w:val="center"/>
            </w:pPr>
          </w:p>
        </w:tc>
        <w:tc>
          <w:tcPr>
            <w:tcW w:w="1384" w:type="dxa"/>
            <w:tcMar>
              <w:top w:w="80" w:type="dxa"/>
              <w:left w:w="70" w:type="dxa"/>
              <w:bottom w:w="80" w:type="dxa"/>
              <w:right w:w="70" w:type="dxa"/>
            </w:tcMar>
            <w:vAlign w:val="center"/>
          </w:tcPr>
          <w:p w14:paraId="66B54CD9">
            <w:pPr>
              <w:jc w:val="center"/>
            </w:pPr>
          </w:p>
        </w:tc>
      </w:tr>
      <w:tr w14:paraId="05E7FD29">
        <w:trPr>
          <w:jc w:val="center"/>
        </w:trPr>
        <w:tc>
          <w:tcPr>
            <w:tcW w:w="8304" w:type="dxa"/>
            <w:gridSpan w:val="6"/>
            <w:shd w:val="clear" w:color="auto" w:fill="F2F2F2"/>
            <w:tcMar>
              <w:top w:w="80" w:type="dxa"/>
              <w:left w:w="70" w:type="dxa"/>
              <w:bottom w:w="80" w:type="dxa"/>
              <w:right w:w="70" w:type="dxa"/>
            </w:tcMar>
          </w:tcPr>
          <w:p w14:paraId="3F64335E">
            <w:pPr>
              <w:jc w:val="left"/>
            </w:pPr>
            <w:r>
              <w:rPr>
                <w:rFonts w:ascii="Times New Roman" w:hAnsi="Times New Roman" w:eastAsia="Times New Roman"/>
                <w:b/>
                <w:sz w:val="16"/>
              </w:rPr>
              <w:t>Panel B: Dependent variable = AIShare</w:t>
            </w:r>
          </w:p>
        </w:tc>
      </w:tr>
      <w:tr w14:paraId="38749CA6">
        <w:trPr>
          <w:jc w:val="center"/>
        </w:trPr>
        <w:tc>
          <w:tcPr>
            <w:tcW w:w="1384" w:type="dxa"/>
            <w:tcMar>
              <w:top w:w="80" w:type="dxa"/>
              <w:left w:w="70" w:type="dxa"/>
              <w:bottom w:w="80" w:type="dxa"/>
              <w:right w:w="70" w:type="dxa"/>
            </w:tcMar>
            <w:vAlign w:val="center"/>
          </w:tcPr>
          <w:p w14:paraId="429CAE27">
            <w:pPr>
              <w:jc w:val="left"/>
            </w:pPr>
            <w:r>
              <w:rPr>
                <w:rFonts w:ascii="Times New Roman" w:hAnsi="Times New Roman" w:eastAsia="Times New Roman"/>
                <w:b w:val="0"/>
                <w:sz w:val="16"/>
              </w:rPr>
              <w:t>AI_post</w:t>
            </w:r>
          </w:p>
        </w:tc>
        <w:tc>
          <w:tcPr>
            <w:tcW w:w="1384" w:type="dxa"/>
            <w:tcMar>
              <w:top w:w="80" w:type="dxa"/>
              <w:left w:w="70" w:type="dxa"/>
              <w:bottom w:w="80" w:type="dxa"/>
              <w:right w:w="70" w:type="dxa"/>
            </w:tcMar>
            <w:vAlign w:val="center"/>
          </w:tcPr>
          <w:p w14:paraId="13F4B445">
            <w:pPr>
              <w:jc w:val="center"/>
            </w:pPr>
            <w:r>
              <w:rPr>
                <w:rFonts w:ascii="Times New Roman" w:hAnsi="Times New Roman" w:eastAsia="Times New Roman"/>
                <w:b w:val="0"/>
                <w:sz w:val="16"/>
              </w:rPr>
              <w:t>3.8220***</w:t>
            </w:r>
          </w:p>
        </w:tc>
        <w:tc>
          <w:tcPr>
            <w:tcW w:w="1384" w:type="dxa"/>
            <w:tcMar>
              <w:top w:w="80" w:type="dxa"/>
              <w:left w:w="70" w:type="dxa"/>
              <w:bottom w:w="80" w:type="dxa"/>
              <w:right w:w="70" w:type="dxa"/>
            </w:tcMar>
            <w:vAlign w:val="center"/>
          </w:tcPr>
          <w:p w14:paraId="0FDCC1AE">
            <w:pPr>
              <w:jc w:val="center"/>
            </w:pPr>
            <w:r>
              <w:rPr>
                <w:rFonts w:ascii="Times New Roman" w:hAnsi="Times New Roman" w:eastAsia="Times New Roman"/>
                <w:b w:val="0"/>
                <w:sz w:val="16"/>
              </w:rPr>
              <w:t>0.2912</w:t>
            </w:r>
          </w:p>
        </w:tc>
        <w:tc>
          <w:tcPr>
            <w:tcW w:w="1384" w:type="dxa"/>
            <w:tcMar>
              <w:top w:w="80" w:type="dxa"/>
              <w:left w:w="70" w:type="dxa"/>
              <w:bottom w:w="80" w:type="dxa"/>
              <w:right w:w="70" w:type="dxa"/>
            </w:tcMar>
            <w:vAlign w:val="center"/>
          </w:tcPr>
          <w:p w14:paraId="7186C7A8">
            <w:pPr>
              <w:jc w:val="center"/>
            </w:pPr>
            <w:r>
              <w:rPr>
                <w:rFonts w:ascii="Times New Roman" w:hAnsi="Times New Roman" w:eastAsia="Times New Roman"/>
                <w:b w:val="0"/>
                <w:sz w:val="16"/>
              </w:rPr>
              <w:t>13.125</w:t>
            </w:r>
          </w:p>
        </w:tc>
        <w:tc>
          <w:tcPr>
            <w:tcW w:w="1384" w:type="dxa"/>
            <w:tcMar>
              <w:top w:w="80" w:type="dxa"/>
              <w:left w:w="70" w:type="dxa"/>
              <w:bottom w:w="80" w:type="dxa"/>
              <w:right w:w="70" w:type="dxa"/>
            </w:tcMar>
            <w:vAlign w:val="center"/>
          </w:tcPr>
          <w:p w14:paraId="4AE04F26">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184C53A7">
            <w:pPr>
              <w:jc w:val="center"/>
            </w:pPr>
            <w:r>
              <w:rPr>
                <w:rFonts w:ascii="Times New Roman" w:hAnsi="Times New Roman" w:eastAsia="Times New Roman"/>
                <w:b w:val="0"/>
                <w:sz w:val="16"/>
              </w:rPr>
              <w:t>[3.2512, 4.3928]</w:t>
            </w:r>
          </w:p>
        </w:tc>
      </w:tr>
      <w:tr w14:paraId="4EB39278">
        <w:trPr>
          <w:jc w:val="center"/>
        </w:trPr>
        <w:tc>
          <w:tcPr>
            <w:tcW w:w="1384" w:type="dxa"/>
            <w:tcMar>
              <w:top w:w="80" w:type="dxa"/>
              <w:left w:w="70" w:type="dxa"/>
              <w:bottom w:w="80" w:type="dxa"/>
              <w:right w:w="70" w:type="dxa"/>
            </w:tcMar>
            <w:vAlign w:val="center"/>
          </w:tcPr>
          <w:p w14:paraId="26E3192E">
            <w:pPr>
              <w:jc w:val="left"/>
            </w:pPr>
            <w:r>
              <w:rPr>
                <w:rFonts w:ascii="Times New Roman" w:hAnsi="Times New Roman" w:eastAsia="Times New Roman"/>
                <w:b w:val="0"/>
                <w:sz w:val="16"/>
              </w:rPr>
              <w:t>log_mtna_lag</w:t>
            </w:r>
          </w:p>
        </w:tc>
        <w:tc>
          <w:tcPr>
            <w:tcW w:w="1384" w:type="dxa"/>
            <w:tcMar>
              <w:top w:w="80" w:type="dxa"/>
              <w:left w:w="70" w:type="dxa"/>
              <w:bottom w:w="80" w:type="dxa"/>
              <w:right w:w="70" w:type="dxa"/>
            </w:tcMar>
            <w:vAlign w:val="center"/>
          </w:tcPr>
          <w:p w14:paraId="0073EEDF">
            <w:pPr>
              <w:jc w:val="center"/>
            </w:pPr>
            <w:r>
              <w:rPr>
                <w:rFonts w:ascii="Times New Roman" w:hAnsi="Times New Roman" w:eastAsia="Times New Roman"/>
                <w:b w:val="0"/>
                <w:sz w:val="16"/>
              </w:rPr>
              <w:t>0.9569***</w:t>
            </w:r>
          </w:p>
        </w:tc>
        <w:tc>
          <w:tcPr>
            <w:tcW w:w="1384" w:type="dxa"/>
            <w:tcMar>
              <w:top w:w="80" w:type="dxa"/>
              <w:left w:w="70" w:type="dxa"/>
              <w:bottom w:w="80" w:type="dxa"/>
              <w:right w:w="70" w:type="dxa"/>
            </w:tcMar>
            <w:vAlign w:val="center"/>
          </w:tcPr>
          <w:p w14:paraId="2107B674">
            <w:pPr>
              <w:jc w:val="center"/>
            </w:pPr>
            <w:r>
              <w:rPr>
                <w:rFonts w:ascii="Times New Roman" w:hAnsi="Times New Roman" w:eastAsia="Times New Roman"/>
                <w:b w:val="0"/>
                <w:sz w:val="16"/>
              </w:rPr>
              <w:t>0.2893</w:t>
            </w:r>
          </w:p>
        </w:tc>
        <w:tc>
          <w:tcPr>
            <w:tcW w:w="1384" w:type="dxa"/>
            <w:tcMar>
              <w:top w:w="80" w:type="dxa"/>
              <w:left w:w="70" w:type="dxa"/>
              <w:bottom w:w="80" w:type="dxa"/>
              <w:right w:w="70" w:type="dxa"/>
            </w:tcMar>
            <w:vAlign w:val="center"/>
          </w:tcPr>
          <w:p w14:paraId="45A2BEA4">
            <w:pPr>
              <w:jc w:val="center"/>
            </w:pPr>
            <w:r>
              <w:rPr>
                <w:rFonts w:ascii="Times New Roman" w:hAnsi="Times New Roman" w:eastAsia="Times New Roman"/>
                <w:b w:val="0"/>
                <w:sz w:val="16"/>
              </w:rPr>
              <w:t>3.3074</w:t>
            </w:r>
          </w:p>
        </w:tc>
        <w:tc>
          <w:tcPr>
            <w:tcW w:w="1384" w:type="dxa"/>
            <w:tcMar>
              <w:top w:w="80" w:type="dxa"/>
              <w:left w:w="70" w:type="dxa"/>
              <w:bottom w:w="80" w:type="dxa"/>
              <w:right w:w="70" w:type="dxa"/>
            </w:tcMar>
            <w:vAlign w:val="center"/>
          </w:tcPr>
          <w:p w14:paraId="133DF4D0">
            <w:pPr>
              <w:jc w:val="center"/>
            </w:pPr>
            <w:r>
              <w:rPr>
                <w:rFonts w:ascii="Times New Roman" w:hAnsi="Times New Roman" w:eastAsia="Times New Roman"/>
                <w:b w:val="0"/>
                <w:sz w:val="16"/>
              </w:rPr>
              <w:t>0.0009</w:t>
            </w:r>
          </w:p>
        </w:tc>
        <w:tc>
          <w:tcPr>
            <w:tcW w:w="1384" w:type="dxa"/>
            <w:tcMar>
              <w:top w:w="80" w:type="dxa"/>
              <w:left w:w="70" w:type="dxa"/>
              <w:bottom w:w="80" w:type="dxa"/>
              <w:right w:w="70" w:type="dxa"/>
            </w:tcMar>
            <w:vAlign w:val="center"/>
          </w:tcPr>
          <w:p w14:paraId="10D3A777">
            <w:pPr>
              <w:jc w:val="center"/>
            </w:pPr>
            <w:r>
              <w:rPr>
                <w:rFonts w:ascii="Times New Roman" w:hAnsi="Times New Roman" w:eastAsia="Times New Roman"/>
                <w:b w:val="0"/>
                <w:sz w:val="16"/>
              </w:rPr>
              <w:t>[0.3898, 1.5240]</w:t>
            </w:r>
          </w:p>
        </w:tc>
      </w:tr>
      <w:tr w14:paraId="536791FE">
        <w:trPr>
          <w:jc w:val="center"/>
        </w:trPr>
        <w:tc>
          <w:tcPr>
            <w:tcW w:w="1384" w:type="dxa"/>
            <w:tcMar>
              <w:top w:w="80" w:type="dxa"/>
              <w:left w:w="70" w:type="dxa"/>
              <w:bottom w:w="80" w:type="dxa"/>
              <w:right w:w="70" w:type="dxa"/>
            </w:tcMar>
            <w:vAlign w:val="center"/>
          </w:tcPr>
          <w:p w14:paraId="5373C5FC">
            <w:pPr>
              <w:jc w:val="left"/>
            </w:pPr>
            <w:r>
              <w:rPr>
                <w:rFonts w:ascii="Times New Roman" w:hAnsi="Times New Roman" w:eastAsia="Times New Roman"/>
                <w:b w:val="0"/>
                <w:sz w:val="16"/>
              </w:rPr>
              <w:t>mret_lag</w:t>
            </w:r>
          </w:p>
        </w:tc>
        <w:tc>
          <w:tcPr>
            <w:tcW w:w="1384" w:type="dxa"/>
            <w:tcMar>
              <w:top w:w="80" w:type="dxa"/>
              <w:left w:w="70" w:type="dxa"/>
              <w:bottom w:w="80" w:type="dxa"/>
              <w:right w:w="70" w:type="dxa"/>
            </w:tcMar>
            <w:vAlign w:val="center"/>
          </w:tcPr>
          <w:p w14:paraId="619CF5EA">
            <w:pPr>
              <w:jc w:val="center"/>
            </w:pPr>
            <w:r>
              <w:rPr>
                <w:rFonts w:ascii="Times New Roman" w:hAnsi="Times New Roman" w:eastAsia="Times New Roman"/>
                <w:b w:val="0"/>
                <w:sz w:val="16"/>
              </w:rPr>
              <w:t>-1.6534</w:t>
            </w:r>
          </w:p>
        </w:tc>
        <w:tc>
          <w:tcPr>
            <w:tcW w:w="1384" w:type="dxa"/>
            <w:tcMar>
              <w:top w:w="80" w:type="dxa"/>
              <w:left w:w="70" w:type="dxa"/>
              <w:bottom w:w="80" w:type="dxa"/>
              <w:right w:w="70" w:type="dxa"/>
            </w:tcMar>
            <w:vAlign w:val="center"/>
          </w:tcPr>
          <w:p w14:paraId="651A77D7">
            <w:pPr>
              <w:jc w:val="center"/>
            </w:pPr>
            <w:r>
              <w:rPr>
                <w:rFonts w:ascii="Times New Roman" w:hAnsi="Times New Roman" w:eastAsia="Times New Roman"/>
                <w:b w:val="0"/>
                <w:sz w:val="16"/>
              </w:rPr>
              <w:t>2.0153</w:t>
            </w:r>
          </w:p>
        </w:tc>
        <w:tc>
          <w:tcPr>
            <w:tcW w:w="1384" w:type="dxa"/>
            <w:tcMar>
              <w:top w:w="80" w:type="dxa"/>
              <w:left w:w="70" w:type="dxa"/>
              <w:bottom w:w="80" w:type="dxa"/>
              <w:right w:w="70" w:type="dxa"/>
            </w:tcMar>
            <w:vAlign w:val="center"/>
          </w:tcPr>
          <w:p w14:paraId="2CA3D502">
            <w:pPr>
              <w:jc w:val="center"/>
            </w:pPr>
            <w:r>
              <w:rPr>
                <w:rFonts w:ascii="Times New Roman" w:hAnsi="Times New Roman" w:eastAsia="Times New Roman"/>
                <w:b w:val="0"/>
                <w:sz w:val="16"/>
              </w:rPr>
              <w:t>-0.8204</w:t>
            </w:r>
          </w:p>
        </w:tc>
        <w:tc>
          <w:tcPr>
            <w:tcW w:w="1384" w:type="dxa"/>
            <w:tcMar>
              <w:top w:w="80" w:type="dxa"/>
              <w:left w:w="70" w:type="dxa"/>
              <w:bottom w:w="80" w:type="dxa"/>
              <w:right w:w="70" w:type="dxa"/>
            </w:tcMar>
            <w:vAlign w:val="center"/>
          </w:tcPr>
          <w:p w14:paraId="7F1D4D0D">
            <w:pPr>
              <w:jc w:val="center"/>
            </w:pPr>
            <w:r>
              <w:rPr>
                <w:rFonts w:ascii="Times New Roman" w:hAnsi="Times New Roman" w:eastAsia="Times New Roman"/>
                <w:b w:val="0"/>
                <w:sz w:val="16"/>
              </w:rPr>
              <w:t>0.4120</w:t>
            </w:r>
          </w:p>
        </w:tc>
        <w:tc>
          <w:tcPr>
            <w:tcW w:w="1384" w:type="dxa"/>
            <w:tcMar>
              <w:top w:w="80" w:type="dxa"/>
              <w:left w:w="70" w:type="dxa"/>
              <w:bottom w:w="80" w:type="dxa"/>
              <w:right w:w="70" w:type="dxa"/>
            </w:tcMar>
            <w:vAlign w:val="center"/>
          </w:tcPr>
          <w:p w14:paraId="01907C6C">
            <w:pPr>
              <w:jc w:val="center"/>
            </w:pPr>
            <w:r>
              <w:rPr>
                <w:rFonts w:ascii="Times New Roman" w:hAnsi="Times New Roman" w:eastAsia="Times New Roman"/>
                <w:b w:val="0"/>
                <w:sz w:val="16"/>
              </w:rPr>
              <w:t>[-5.6034, 2.2966]</w:t>
            </w:r>
          </w:p>
        </w:tc>
      </w:tr>
      <w:tr w14:paraId="141BB3DA">
        <w:trPr>
          <w:jc w:val="center"/>
        </w:trPr>
        <w:tc>
          <w:tcPr>
            <w:tcW w:w="1384" w:type="dxa"/>
            <w:tcMar>
              <w:top w:w="80" w:type="dxa"/>
              <w:left w:w="70" w:type="dxa"/>
              <w:bottom w:w="80" w:type="dxa"/>
              <w:right w:w="70" w:type="dxa"/>
            </w:tcMar>
            <w:vAlign w:val="center"/>
          </w:tcPr>
          <w:p w14:paraId="4264CB20">
            <w:pPr>
              <w:jc w:val="left"/>
            </w:pPr>
            <w:r>
              <w:rPr>
                <w:rFonts w:ascii="Times New Roman" w:hAnsi="Times New Roman" w:eastAsia="Times New Roman"/>
                <w:b w:val="0"/>
                <w:sz w:val="16"/>
              </w:rPr>
              <w:t>flow_lag</w:t>
            </w:r>
          </w:p>
        </w:tc>
        <w:tc>
          <w:tcPr>
            <w:tcW w:w="1384" w:type="dxa"/>
            <w:tcMar>
              <w:top w:w="80" w:type="dxa"/>
              <w:left w:w="70" w:type="dxa"/>
              <w:bottom w:w="80" w:type="dxa"/>
              <w:right w:w="70" w:type="dxa"/>
            </w:tcMar>
            <w:vAlign w:val="center"/>
          </w:tcPr>
          <w:p w14:paraId="1DD75297">
            <w:pPr>
              <w:jc w:val="center"/>
            </w:pPr>
            <w:r>
              <w:rPr>
                <w:rFonts w:ascii="Times New Roman" w:hAnsi="Times New Roman" w:eastAsia="Times New Roman"/>
                <w:b w:val="0"/>
                <w:sz w:val="16"/>
              </w:rPr>
              <w:t>-0.0207</w:t>
            </w:r>
          </w:p>
        </w:tc>
        <w:tc>
          <w:tcPr>
            <w:tcW w:w="1384" w:type="dxa"/>
            <w:tcMar>
              <w:top w:w="80" w:type="dxa"/>
              <w:left w:w="70" w:type="dxa"/>
              <w:bottom w:w="80" w:type="dxa"/>
              <w:right w:w="70" w:type="dxa"/>
            </w:tcMar>
            <w:vAlign w:val="center"/>
          </w:tcPr>
          <w:p w14:paraId="5BC40900">
            <w:pPr>
              <w:jc w:val="center"/>
            </w:pPr>
            <w:r>
              <w:rPr>
                <w:rFonts w:ascii="Times New Roman" w:hAnsi="Times New Roman" w:eastAsia="Times New Roman"/>
                <w:b w:val="0"/>
                <w:sz w:val="16"/>
              </w:rPr>
              <w:t>0.6120</w:t>
            </w:r>
          </w:p>
        </w:tc>
        <w:tc>
          <w:tcPr>
            <w:tcW w:w="1384" w:type="dxa"/>
            <w:tcMar>
              <w:top w:w="80" w:type="dxa"/>
              <w:left w:w="70" w:type="dxa"/>
              <w:bottom w:w="80" w:type="dxa"/>
              <w:right w:w="70" w:type="dxa"/>
            </w:tcMar>
            <w:vAlign w:val="center"/>
          </w:tcPr>
          <w:p w14:paraId="04FA0804">
            <w:pPr>
              <w:jc w:val="center"/>
            </w:pPr>
            <w:r>
              <w:rPr>
                <w:rFonts w:ascii="Times New Roman" w:hAnsi="Times New Roman" w:eastAsia="Times New Roman"/>
                <w:b w:val="0"/>
                <w:sz w:val="16"/>
              </w:rPr>
              <w:t>-0.0338</w:t>
            </w:r>
          </w:p>
        </w:tc>
        <w:tc>
          <w:tcPr>
            <w:tcW w:w="1384" w:type="dxa"/>
            <w:tcMar>
              <w:top w:w="80" w:type="dxa"/>
              <w:left w:w="70" w:type="dxa"/>
              <w:bottom w:w="80" w:type="dxa"/>
              <w:right w:w="70" w:type="dxa"/>
            </w:tcMar>
            <w:vAlign w:val="center"/>
          </w:tcPr>
          <w:p w14:paraId="26767F6E">
            <w:pPr>
              <w:jc w:val="center"/>
            </w:pPr>
            <w:r>
              <w:rPr>
                <w:rFonts w:ascii="Times New Roman" w:hAnsi="Times New Roman" w:eastAsia="Times New Roman"/>
                <w:b w:val="0"/>
                <w:sz w:val="16"/>
              </w:rPr>
              <w:t>0.9730</w:t>
            </w:r>
          </w:p>
        </w:tc>
        <w:tc>
          <w:tcPr>
            <w:tcW w:w="1384" w:type="dxa"/>
            <w:tcMar>
              <w:top w:w="80" w:type="dxa"/>
              <w:left w:w="70" w:type="dxa"/>
              <w:bottom w:w="80" w:type="dxa"/>
              <w:right w:w="70" w:type="dxa"/>
            </w:tcMar>
            <w:vAlign w:val="center"/>
          </w:tcPr>
          <w:p w14:paraId="7018722F">
            <w:pPr>
              <w:jc w:val="center"/>
            </w:pPr>
            <w:r>
              <w:rPr>
                <w:rFonts w:ascii="Times New Roman" w:hAnsi="Times New Roman" w:eastAsia="Times New Roman"/>
                <w:b w:val="0"/>
                <w:sz w:val="16"/>
              </w:rPr>
              <w:t>[-1.2203, 1.1789]</w:t>
            </w:r>
          </w:p>
        </w:tc>
      </w:tr>
      <w:tr w14:paraId="0657FAE4">
        <w:trPr>
          <w:jc w:val="center"/>
        </w:trPr>
        <w:tc>
          <w:tcPr>
            <w:tcW w:w="1384" w:type="dxa"/>
            <w:tcMar>
              <w:top w:w="80" w:type="dxa"/>
              <w:left w:w="70" w:type="dxa"/>
              <w:bottom w:w="80" w:type="dxa"/>
              <w:right w:w="70" w:type="dxa"/>
            </w:tcMar>
            <w:vAlign w:val="center"/>
          </w:tcPr>
          <w:p w14:paraId="4643CB3A">
            <w:pPr>
              <w:jc w:val="left"/>
            </w:pPr>
            <w:r>
              <w:rPr>
                <w:rFonts w:ascii="Times New Roman" w:hAnsi="Times New Roman" w:eastAsia="Times New Roman"/>
                <w:b/>
                <w:sz w:val="16"/>
              </w:rPr>
              <w:t>Observations</w:t>
            </w:r>
          </w:p>
        </w:tc>
        <w:tc>
          <w:tcPr>
            <w:tcW w:w="1384" w:type="dxa"/>
            <w:tcMar>
              <w:top w:w="80" w:type="dxa"/>
              <w:left w:w="70" w:type="dxa"/>
              <w:bottom w:w="80" w:type="dxa"/>
              <w:right w:w="70" w:type="dxa"/>
            </w:tcMar>
            <w:vAlign w:val="center"/>
          </w:tcPr>
          <w:p w14:paraId="673F9350">
            <w:pPr>
              <w:jc w:val="center"/>
            </w:pPr>
            <w:r>
              <w:rPr>
                <w:rFonts w:ascii="Times New Roman" w:hAnsi="Times New Roman" w:eastAsia="Times New Roman"/>
                <w:b w:val="0"/>
                <w:sz w:val="16"/>
              </w:rPr>
              <w:t>28,016</w:t>
            </w:r>
          </w:p>
        </w:tc>
        <w:tc>
          <w:tcPr>
            <w:tcW w:w="1384" w:type="dxa"/>
            <w:tcMar>
              <w:top w:w="80" w:type="dxa"/>
              <w:left w:w="70" w:type="dxa"/>
              <w:bottom w:w="80" w:type="dxa"/>
              <w:right w:w="70" w:type="dxa"/>
            </w:tcMar>
            <w:vAlign w:val="center"/>
          </w:tcPr>
          <w:p w14:paraId="288172F4">
            <w:pPr>
              <w:jc w:val="center"/>
            </w:pPr>
          </w:p>
        </w:tc>
        <w:tc>
          <w:tcPr>
            <w:tcW w:w="1384" w:type="dxa"/>
            <w:tcMar>
              <w:top w:w="80" w:type="dxa"/>
              <w:left w:w="70" w:type="dxa"/>
              <w:bottom w:w="80" w:type="dxa"/>
              <w:right w:w="70" w:type="dxa"/>
            </w:tcMar>
            <w:vAlign w:val="center"/>
          </w:tcPr>
          <w:p w14:paraId="7561295A">
            <w:pPr>
              <w:jc w:val="center"/>
            </w:pPr>
          </w:p>
        </w:tc>
        <w:tc>
          <w:tcPr>
            <w:tcW w:w="1384" w:type="dxa"/>
            <w:tcMar>
              <w:top w:w="80" w:type="dxa"/>
              <w:left w:w="70" w:type="dxa"/>
              <w:bottom w:w="80" w:type="dxa"/>
              <w:right w:w="70" w:type="dxa"/>
            </w:tcMar>
            <w:vAlign w:val="center"/>
          </w:tcPr>
          <w:p w14:paraId="5ABC12D4">
            <w:pPr>
              <w:jc w:val="center"/>
            </w:pPr>
          </w:p>
        </w:tc>
        <w:tc>
          <w:tcPr>
            <w:tcW w:w="1384" w:type="dxa"/>
            <w:tcMar>
              <w:top w:w="80" w:type="dxa"/>
              <w:left w:w="70" w:type="dxa"/>
              <w:bottom w:w="80" w:type="dxa"/>
              <w:right w:w="70" w:type="dxa"/>
            </w:tcMar>
            <w:vAlign w:val="center"/>
          </w:tcPr>
          <w:p w14:paraId="6CCD92F4">
            <w:pPr>
              <w:jc w:val="center"/>
            </w:pPr>
          </w:p>
        </w:tc>
      </w:tr>
      <w:tr w14:paraId="00EA235D">
        <w:trPr>
          <w:jc w:val="center"/>
        </w:trPr>
        <w:tc>
          <w:tcPr>
            <w:tcW w:w="1384" w:type="dxa"/>
            <w:tcMar>
              <w:top w:w="80" w:type="dxa"/>
              <w:left w:w="70" w:type="dxa"/>
              <w:bottom w:w="80" w:type="dxa"/>
              <w:right w:w="70" w:type="dxa"/>
            </w:tcMar>
            <w:vAlign w:val="center"/>
          </w:tcPr>
          <w:p w14:paraId="13343966">
            <w:pPr>
              <w:jc w:val="left"/>
            </w:pPr>
            <w:r>
              <w:rPr>
                <w:rFonts w:ascii="Times New Roman" w:hAnsi="Times New Roman" w:eastAsia="Times New Roman"/>
                <w:b/>
                <w:sz w:val="16"/>
              </w:rPr>
              <w:t>R-squared</w:t>
            </w:r>
          </w:p>
        </w:tc>
        <w:tc>
          <w:tcPr>
            <w:tcW w:w="1384" w:type="dxa"/>
            <w:tcMar>
              <w:top w:w="80" w:type="dxa"/>
              <w:left w:w="70" w:type="dxa"/>
              <w:bottom w:w="80" w:type="dxa"/>
              <w:right w:w="70" w:type="dxa"/>
            </w:tcMar>
            <w:vAlign w:val="center"/>
          </w:tcPr>
          <w:p w14:paraId="37F10C46">
            <w:pPr>
              <w:jc w:val="center"/>
            </w:pPr>
            <w:r>
              <w:rPr>
                <w:rFonts w:ascii="Times New Roman" w:hAnsi="Times New Roman" w:eastAsia="Times New Roman"/>
                <w:b w:val="0"/>
                <w:sz w:val="16"/>
              </w:rPr>
              <w:t>0.0413</w:t>
            </w:r>
          </w:p>
        </w:tc>
        <w:tc>
          <w:tcPr>
            <w:tcW w:w="1384" w:type="dxa"/>
            <w:tcMar>
              <w:top w:w="80" w:type="dxa"/>
              <w:left w:w="70" w:type="dxa"/>
              <w:bottom w:w="80" w:type="dxa"/>
              <w:right w:w="70" w:type="dxa"/>
            </w:tcMar>
            <w:vAlign w:val="center"/>
          </w:tcPr>
          <w:p w14:paraId="16B96AE8">
            <w:pPr>
              <w:jc w:val="center"/>
            </w:pPr>
          </w:p>
        </w:tc>
        <w:tc>
          <w:tcPr>
            <w:tcW w:w="1384" w:type="dxa"/>
            <w:tcMar>
              <w:top w:w="80" w:type="dxa"/>
              <w:left w:w="70" w:type="dxa"/>
              <w:bottom w:w="80" w:type="dxa"/>
              <w:right w:w="70" w:type="dxa"/>
            </w:tcMar>
            <w:vAlign w:val="center"/>
          </w:tcPr>
          <w:p w14:paraId="41CA0D89">
            <w:pPr>
              <w:jc w:val="center"/>
            </w:pPr>
          </w:p>
        </w:tc>
        <w:tc>
          <w:tcPr>
            <w:tcW w:w="1384" w:type="dxa"/>
            <w:tcMar>
              <w:top w:w="80" w:type="dxa"/>
              <w:left w:w="70" w:type="dxa"/>
              <w:bottom w:w="80" w:type="dxa"/>
              <w:right w:w="70" w:type="dxa"/>
            </w:tcMar>
            <w:vAlign w:val="center"/>
          </w:tcPr>
          <w:p w14:paraId="48F9A49E">
            <w:pPr>
              <w:jc w:val="center"/>
            </w:pPr>
          </w:p>
        </w:tc>
        <w:tc>
          <w:tcPr>
            <w:tcW w:w="1384" w:type="dxa"/>
            <w:tcMar>
              <w:top w:w="80" w:type="dxa"/>
              <w:left w:w="70" w:type="dxa"/>
              <w:bottom w:w="80" w:type="dxa"/>
              <w:right w:w="70" w:type="dxa"/>
            </w:tcMar>
            <w:vAlign w:val="center"/>
          </w:tcPr>
          <w:p w14:paraId="02EBCF6E">
            <w:pPr>
              <w:jc w:val="center"/>
            </w:pPr>
          </w:p>
        </w:tc>
      </w:tr>
      <w:tr w14:paraId="558DA0B7">
        <w:trPr>
          <w:jc w:val="center"/>
        </w:trPr>
        <w:tc>
          <w:tcPr>
            <w:tcW w:w="1384" w:type="dxa"/>
            <w:tcMar>
              <w:top w:w="80" w:type="dxa"/>
              <w:left w:w="70" w:type="dxa"/>
              <w:bottom w:w="80" w:type="dxa"/>
              <w:right w:w="70" w:type="dxa"/>
            </w:tcMar>
            <w:vAlign w:val="center"/>
          </w:tcPr>
          <w:p w14:paraId="79492AB2">
            <w:pPr>
              <w:jc w:val="left"/>
            </w:pPr>
            <w:r>
              <w:rPr>
                <w:rFonts w:ascii="Times New Roman" w:hAnsi="Times New Roman" w:eastAsia="Times New Roman"/>
                <w:b/>
                <w:sz w:val="16"/>
              </w:rPr>
              <w:t>Entities</w:t>
            </w:r>
          </w:p>
        </w:tc>
        <w:tc>
          <w:tcPr>
            <w:tcW w:w="1384" w:type="dxa"/>
            <w:tcMar>
              <w:top w:w="80" w:type="dxa"/>
              <w:left w:w="70" w:type="dxa"/>
              <w:bottom w:w="80" w:type="dxa"/>
              <w:right w:w="70" w:type="dxa"/>
            </w:tcMar>
            <w:vAlign w:val="center"/>
          </w:tcPr>
          <w:p w14:paraId="3F264C35">
            <w:pPr>
              <w:jc w:val="center"/>
            </w:pPr>
            <w:r>
              <w:rPr>
                <w:rFonts w:ascii="Times New Roman" w:hAnsi="Times New Roman" w:eastAsia="Times New Roman"/>
                <w:b w:val="0"/>
                <w:sz w:val="16"/>
              </w:rPr>
              <w:t>1,269</w:t>
            </w:r>
          </w:p>
        </w:tc>
        <w:tc>
          <w:tcPr>
            <w:tcW w:w="1384" w:type="dxa"/>
            <w:tcMar>
              <w:top w:w="80" w:type="dxa"/>
              <w:left w:w="70" w:type="dxa"/>
              <w:bottom w:w="80" w:type="dxa"/>
              <w:right w:w="70" w:type="dxa"/>
            </w:tcMar>
            <w:vAlign w:val="center"/>
          </w:tcPr>
          <w:p w14:paraId="5FF3F64A">
            <w:pPr>
              <w:jc w:val="center"/>
            </w:pPr>
          </w:p>
        </w:tc>
        <w:tc>
          <w:tcPr>
            <w:tcW w:w="1384" w:type="dxa"/>
            <w:tcMar>
              <w:top w:w="80" w:type="dxa"/>
              <w:left w:w="70" w:type="dxa"/>
              <w:bottom w:w="80" w:type="dxa"/>
              <w:right w:w="70" w:type="dxa"/>
            </w:tcMar>
            <w:vAlign w:val="center"/>
          </w:tcPr>
          <w:p w14:paraId="65E283A9">
            <w:pPr>
              <w:jc w:val="center"/>
            </w:pPr>
          </w:p>
        </w:tc>
        <w:tc>
          <w:tcPr>
            <w:tcW w:w="1384" w:type="dxa"/>
            <w:tcMar>
              <w:top w:w="80" w:type="dxa"/>
              <w:left w:w="70" w:type="dxa"/>
              <w:bottom w:w="80" w:type="dxa"/>
              <w:right w:w="70" w:type="dxa"/>
            </w:tcMar>
            <w:vAlign w:val="center"/>
          </w:tcPr>
          <w:p w14:paraId="4913F9E4">
            <w:pPr>
              <w:jc w:val="center"/>
            </w:pPr>
          </w:p>
        </w:tc>
        <w:tc>
          <w:tcPr>
            <w:tcW w:w="1384" w:type="dxa"/>
            <w:tcMar>
              <w:top w:w="80" w:type="dxa"/>
              <w:left w:w="70" w:type="dxa"/>
              <w:bottom w:w="80" w:type="dxa"/>
              <w:right w:w="70" w:type="dxa"/>
            </w:tcMar>
            <w:vAlign w:val="center"/>
          </w:tcPr>
          <w:p w14:paraId="3CE8C411">
            <w:pPr>
              <w:jc w:val="center"/>
            </w:pPr>
          </w:p>
        </w:tc>
      </w:tr>
      <w:tr w14:paraId="311BA0DF">
        <w:trPr>
          <w:jc w:val="center"/>
        </w:trPr>
        <w:tc>
          <w:tcPr>
            <w:tcW w:w="1384" w:type="dxa"/>
            <w:tcMar>
              <w:top w:w="80" w:type="dxa"/>
              <w:left w:w="70" w:type="dxa"/>
              <w:bottom w:w="80" w:type="dxa"/>
              <w:right w:w="70" w:type="dxa"/>
            </w:tcMar>
            <w:vAlign w:val="center"/>
          </w:tcPr>
          <w:p w14:paraId="5E3544D6">
            <w:pPr>
              <w:jc w:val="left"/>
            </w:pPr>
            <w:r>
              <w:rPr>
                <w:rFonts w:ascii="Times New Roman" w:hAnsi="Times New Roman" w:eastAsia="Times New Roman"/>
                <w:b/>
                <w:sz w:val="16"/>
              </w:rPr>
              <w:t>Time periods</w:t>
            </w:r>
          </w:p>
        </w:tc>
        <w:tc>
          <w:tcPr>
            <w:tcW w:w="1384" w:type="dxa"/>
            <w:tcMar>
              <w:top w:w="80" w:type="dxa"/>
              <w:left w:w="70" w:type="dxa"/>
              <w:bottom w:w="80" w:type="dxa"/>
              <w:right w:w="70" w:type="dxa"/>
            </w:tcMar>
            <w:vAlign w:val="center"/>
          </w:tcPr>
          <w:p w14:paraId="1E9E1A8F">
            <w:pPr>
              <w:jc w:val="center"/>
            </w:pPr>
            <w:r>
              <w:rPr>
                <w:rFonts w:ascii="Times New Roman" w:hAnsi="Times New Roman" w:eastAsia="Times New Roman"/>
                <w:b w:val="0"/>
                <w:sz w:val="16"/>
              </w:rPr>
              <w:t>24</w:t>
            </w:r>
          </w:p>
        </w:tc>
        <w:tc>
          <w:tcPr>
            <w:tcW w:w="1384" w:type="dxa"/>
            <w:tcMar>
              <w:top w:w="80" w:type="dxa"/>
              <w:left w:w="70" w:type="dxa"/>
              <w:bottom w:w="80" w:type="dxa"/>
              <w:right w:w="70" w:type="dxa"/>
            </w:tcMar>
            <w:vAlign w:val="center"/>
          </w:tcPr>
          <w:p w14:paraId="13414A3E">
            <w:pPr>
              <w:jc w:val="center"/>
            </w:pPr>
          </w:p>
        </w:tc>
        <w:tc>
          <w:tcPr>
            <w:tcW w:w="1384" w:type="dxa"/>
            <w:tcMar>
              <w:top w:w="80" w:type="dxa"/>
              <w:left w:w="70" w:type="dxa"/>
              <w:bottom w:w="80" w:type="dxa"/>
              <w:right w:w="70" w:type="dxa"/>
            </w:tcMar>
            <w:vAlign w:val="center"/>
          </w:tcPr>
          <w:p w14:paraId="60F8F111">
            <w:pPr>
              <w:jc w:val="center"/>
            </w:pPr>
          </w:p>
        </w:tc>
        <w:tc>
          <w:tcPr>
            <w:tcW w:w="1384" w:type="dxa"/>
            <w:tcMar>
              <w:top w:w="80" w:type="dxa"/>
              <w:left w:w="70" w:type="dxa"/>
              <w:bottom w:w="80" w:type="dxa"/>
              <w:right w:w="70" w:type="dxa"/>
            </w:tcMar>
            <w:vAlign w:val="center"/>
          </w:tcPr>
          <w:p w14:paraId="54F7BB75">
            <w:pPr>
              <w:jc w:val="center"/>
            </w:pPr>
          </w:p>
        </w:tc>
        <w:tc>
          <w:tcPr>
            <w:tcW w:w="1384" w:type="dxa"/>
            <w:tcMar>
              <w:top w:w="80" w:type="dxa"/>
              <w:left w:w="70" w:type="dxa"/>
              <w:bottom w:w="80" w:type="dxa"/>
              <w:right w:w="70" w:type="dxa"/>
            </w:tcMar>
            <w:vAlign w:val="center"/>
          </w:tcPr>
          <w:p w14:paraId="390EEEE1">
            <w:pPr>
              <w:jc w:val="center"/>
            </w:pPr>
          </w:p>
        </w:tc>
      </w:tr>
    </w:tbl>
    <w:p w14:paraId="34D11E1F">
      <w:pPr>
        <w:spacing w:before="40" w:after="160"/>
      </w:pPr>
      <w:r>
        <w:rPr>
          <w:rFonts w:ascii="Times New Roman" w:hAnsi="Times New Roman" w:eastAsia="Times New Roman"/>
          <w:i/>
          <w:sz w:val="19"/>
        </w:rPr>
        <w:t>Notes: Values are transcribed from the saved output in processed_data/H3.ipynb. Standard errors are clustered at the fund level. Both panels include entity and time fixed effects. ***, **, and * denote p &lt; 0.01, p &lt; 0.05, and p &lt; 0.10.</w:t>
      </w:r>
    </w:p>
    <w:p w14:paraId="7333F24D">
      <w:pPr>
        <w:spacing w:after="120" w:line="276" w:lineRule="auto"/>
      </w:pPr>
      <w:r>
        <w:rPr>
          <w:rFonts w:ascii="Times New Roman" w:hAnsi="Times New Roman" w:eastAsia="Times New Roman"/>
          <w:b w:val="0"/>
          <w:i w:val="0"/>
          <w:sz w:val="24"/>
        </w:rPr>
        <w:t>The two portfolio measures reveal a distinction that is important for interpreting institutional behavior. The negative coefficient on new_ai_positions indicates that high-AI-exposure funds did not respond to ChatGPT by broadly initiating many new AI holdings. In finance terms, the result does not look like exploratory diversification across the AI theme. It is more consistent with selective reallocation by managers who already had AI-related positions and did not need to expand the number of names to increase thematic exposure.</w:t>
      </w:r>
    </w:p>
    <w:p w14:paraId="6D68B78C">
      <w:pPr>
        <w:spacing w:after="120" w:line="276" w:lineRule="auto"/>
      </w:pPr>
      <w:r>
        <w:rPr>
          <w:rFonts w:ascii="Times New Roman" w:hAnsi="Times New Roman" w:eastAsia="Times New Roman"/>
          <w:b w:val="0"/>
          <w:i w:val="0"/>
          <w:sz w:val="24"/>
        </w:rPr>
        <w:t>Panel B points to the economically relevant adjustment margin. The positive AIShare coefficient indicates conviction-based reinforcement within existing AI allocations. A one-standard-deviation increase in pre-shock AI exposure is associated with a 3.82 percentage point higher AI portfolio share after ChatGPT, suggesting that managers increased concentration in AI-related holdings rather than spreading capital thinly across many new firms. This interpretation is consistent with institutional investors scaling familiar, high-conviction positions under technological uncertainty.</w:t>
      </w:r>
    </w:p>
    <w:p w14:paraId="32B91112">
      <w:pPr>
        <w:spacing w:before="160" w:after="80"/>
        <w:jc w:val="center"/>
      </w:pPr>
      <w:r>
        <w:rPr>
          <w:rFonts w:ascii="Times New Roman" w:hAnsi="Times New Roman" w:eastAsia="Times New Roman"/>
          <w:b/>
          <w:sz w:val="22"/>
        </w:rPr>
        <w:t>Figure 3. Average AI Portfolio Share Before and After ChatGPT</w:t>
      </w:r>
    </w:p>
    <w:p w14:paraId="45B0782E">
      <w:pPr>
        <w:jc w:val="center"/>
      </w:pPr>
      <w:r>
        <w:drawing>
          <wp:inline distT="0" distB="0" distL="114300" distR="114300">
            <wp:extent cx="5303520" cy="3081655"/>
            <wp:effectExtent l="0" t="0" r="5080" b="171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303520" cy="3081775"/>
                    </a:xfrm>
                    <a:prstGeom prst="rect">
                      <a:avLst/>
                    </a:prstGeom>
                  </pic:spPr>
                </pic:pic>
              </a:graphicData>
            </a:graphic>
          </wp:inline>
        </w:drawing>
      </w:r>
    </w:p>
    <w:p w14:paraId="36D0DA47">
      <w:pPr>
        <w:spacing w:before="40" w:after="160"/>
      </w:pPr>
      <w:r>
        <w:rPr>
          <w:rFonts w:ascii="Times New Roman" w:hAnsi="Times New Roman" w:eastAsia="Times New Roman"/>
          <w:i/>
          <w:sz w:val="19"/>
        </w:rPr>
        <w:t>Source: author’s descriptive visualization from the H3 fund-quarter panel. The figure is descriptive and does not include fixed effects or controls.</w:t>
      </w:r>
    </w:p>
    <w:p w14:paraId="6B807ED5">
      <w:pPr>
        <w:spacing w:after="120" w:line="276" w:lineRule="auto"/>
      </w:pPr>
      <w:r>
        <w:rPr>
          <w:rFonts w:ascii="Times New Roman" w:hAnsi="Times New Roman" w:eastAsia="Times New Roman"/>
          <w:b w:val="0"/>
          <w:i w:val="0"/>
          <w:sz w:val="24"/>
        </w:rPr>
        <w:t>Figure 3 provides descriptive evidence consistent with this intensive-margin interpretation. High-AI-exposure funds already hold substantially larger AI portfolio shares before ChatGPT, but the post-2022 widening of the gap suggests strategic reinforcement rather than broad experimentation. The figure does not replace the fixed-effects regression evidence; it provides a visual illustration of the same portfolio concentration mechanism documented in Table 4.</w:t>
      </w:r>
    </w:p>
    <w:p w14:paraId="4AA5552F">
      <w:pPr>
        <w:spacing w:after="120" w:line="276" w:lineRule="auto"/>
      </w:pPr>
      <w:r>
        <w:rPr>
          <w:rFonts w:ascii="Times New Roman" w:hAnsi="Times New Roman" w:eastAsia="Times New Roman"/>
          <w:b w:val="0"/>
          <w:i w:val="0"/>
          <w:sz w:val="24"/>
        </w:rPr>
        <w:t>Taken together, the H3 evidence supports strategic adaptation on the intensive margin. Funds already exposed to AI increased the weight of AI-related positions after the shock, but they did not diversify broadly into many additional AI stocks. This mixed pattern is economically plausible: when technological uncertainty is high, informed managers may prefer to reinforce positions where they have research familiarity, liquidity access, and stronger conviction.</w:t>
      </w:r>
    </w:p>
    <w:p w14:paraId="2A7FD8E5">
      <w:pPr>
        <w:spacing w:before="160" w:after="120"/>
      </w:pPr>
      <w:r>
        <w:rPr>
          <w:rFonts w:ascii="Times New Roman" w:hAnsi="Times New Roman" w:eastAsia="Times New Roman"/>
          <w:b/>
          <w:sz w:val="28"/>
        </w:rPr>
        <w:t>4.6 Robustness Tests</w:t>
      </w:r>
    </w:p>
    <w:p w14:paraId="5C7A9B88">
      <w:pPr>
        <w:spacing w:after="120" w:line="276" w:lineRule="auto"/>
      </w:pPr>
      <w:r>
        <w:rPr>
          <w:rFonts w:ascii="Times New Roman" w:hAnsi="Times New Roman" w:eastAsia="Times New Roman"/>
          <w:sz w:val="24"/>
        </w:rPr>
        <w:t>Table 5 reports the robustness checks available in the saved notebook outputs. These specifications examine whether the main conclusion is sensitive to alternative definitions of AI exposure. All specifications include fund fixed effects, time fixed effects, lagged controls, and clustered standard errors.</w:t>
      </w:r>
    </w:p>
    <w:p w14:paraId="42671CEA">
      <w:pPr>
        <w:spacing w:before="160" w:after="80"/>
        <w:jc w:val="center"/>
      </w:pPr>
      <w:r>
        <w:rPr>
          <w:rFonts w:ascii="Times New Roman" w:hAnsi="Times New Roman" w:eastAsia="Times New Roman"/>
          <w:b/>
          <w:sz w:val="22"/>
        </w:rPr>
        <w:t>Table 5. Robustness Tests</w:t>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465"/>
        <w:gridCol w:w="1384"/>
        <w:gridCol w:w="1384"/>
        <w:gridCol w:w="1384"/>
        <w:gridCol w:w="1384"/>
        <w:gridCol w:w="1384"/>
      </w:tblGrid>
      <w:tr w14:paraId="7D1647D8">
        <w:trPr>
          <w:jc w:val="center"/>
        </w:trPr>
        <w:tc>
          <w:tcPr>
            <w:tcW w:w="1384" w:type="dxa"/>
            <w:shd w:val="clear" w:color="auto" w:fill="D9EAF7"/>
            <w:tcMar>
              <w:top w:w="80" w:type="dxa"/>
              <w:left w:w="70" w:type="dxa"/>
              <w:bottom w:w="80" w:type="dxa"/>
              <w:right w:w="70" w:type="dxa"/>
            </w:tcMar>
            <w:vAlign w:val="center"/>
          </w:tcPr>
          <w:p w14:paraId="09867B1C">
            <w:pPr>
              <w:jc w:val="center"/>
            </w:pPr>
            <w:r>
              <w:rPr>
                <w:rFonts w:ascii="Times New Roman" w:hAnsi="Times New Roman" w:eastAsia="Times New Roman"/>
                <w:b/>
                <w:sz w:val="16"/>
              </w:rPr>
              <w:t>Parameter</w:t>
            </w:r>
          </w:p>
        </w:tc>
        <w:tc>
          <w:tcPr>
            <w:tcW w:w="1384" w:type="dxa"/>
            <w:shd w:val="clear" w:color="auto" w:fill="D9EAF7"/>
            <w:tcMar>
              <w:top w:w="80" w:type="dxa"/>
              <w:left w:w="70" w:type="dxa"/>
              <w:bottom w:w="80" w:type="dxa"/>
              <w:right w:w="70" w:type="dxa"/>
            </w:tcMar>
            <w:vAlign w:val="center"/>
          </w:tcPr>
          <w:p w14:paraId="58B09B2E">
            <w:pPr>
              <w:jc w:val="center"/>
            </w:pPr>
            <w:r>
              <w:rPr>
                <w:rFonts w:ascii="Times New Roman" w:hAnsi="Times New Roman" w:eastAsia="Times New Roman"/>
                <w:b/>
                <w:sz w:val="16"/>
              </w:rPr>
              <w:t>Coefficient</w:t>
            </w:r>
          </w:p>
        </w:tc>
        <w:tc>
          <w:tcPr>
            <w:tcW w:w="1384" w:type="dxa"/>
            <w:shd w:val="clear" w:color="auto" w:fill="D9EAF7"/>
            <w:tcMar>
              <w:top w:w="80" w:type="dxa"/>
              <w:left w:w="70" w:type="dxa"/>
              <w:bottom w:w="80" w:type="dxa"/>
              <w:right w:w="70" w:type="dxa"/>
            </w:tcMar>
            <w:vAlign w:val="center"/>
          </w:tcPr>
          <w:p w14:paraId="0FF867AF">
            <w:pPr>
              <w:jc w:val="center"/>
            </w:pPr>
            <w:r>
              <w:rPr>
                <w:rFonts w:ascii="Times New Roman" w:hAnsi="Times New Roman" w:eastAsia="Times New Roman"/>
                <w:b/>
                <w:sz w:val="16"/>
              </w:rPr>
              <w:t>Std. Err.</w:t>
            </w:r>
          </w:p>
        </w:tc>
        <w:tc>
          <w:tcPr>
            <w:tcW w:w="1384" w:type="dxa"/>
            <w:shd w:val="clear" w:color="auto" w:fill="D9EAF7"/>
            <w:tcMar>
              <w:top w:w="80" w:type="dxa"/>
              <w:left w:w="70" w:type="dxa"/>
              <w:bottom w:w="80" w:type="dxa"/>
              <w:right w:w="70" w:type="dxa"/>
            </w:tcMar>
            <w:vAlign w:val="center"/>
          </w:tcPr>
          <w:p w14:paraId="7A8B913A">
            <w:pPr>
              <w:jc w:val="center"/>
            </w:pPr>
            <w:r>
              <w:rPr>
                <w:rFonts w:ascii="Times New Roman" w:hAnsi="Times New Roman" w:eastAsia="Times New Roman"/>
                <w:b/>
                <w:sz w:val="16"/>
              </w:rPr>
              <w:t>T-stat</w:t>
            </w:r>
          </w:p>
        </w:tc>
        <w:tc>
          <w:tcPr>
            <w:tcW w:w="1384" w:type="dxa"/>
            <w:shd w:val="clear" w:color="auto" w:fill="D9EAF7"/>
            <w:tcMar>
              <w:top w:w="80" w:type="dxa"/>
              <w:left w:w="70" w:type="dxa"/>
              <w:bottom w:w="80" w:type="dxa"/>
              <w:right w:w="70" w:type="dxa"/>
            </w:tcMar>
            <w:vAlign w:val="center"/>
          </w:tcPr>
          <w:p w14:paraId="47288AB4">
            <w:pPr>
              <w:jc w:val="center"/>
            </w:pPr>
            <w:r>
              <w:rPr>
                <w:rFonts w:ascii="Times New Roman" w:hAnsi="Times New Roman" w:eastAsia="Times New Roman"/>
                <w:b/>
                <w:sz w:val="16"/>
              </w:rPr>
              <w:t>P-value</w:t>
            </w:r>
          </w:p>
        </w:tc>
        <w:tc>
          <w:tcPr>
            <w:tcW w:w="1384" w:type="dxa"/>
            <w:shd w:val="clear" w:color="auto" w:fill="D9EAF7"/>
            <w:tcMar>
              <w:top w:w="80" w:type="dxa"/>
              <w:left w:w="70" w:type="dxa"/>
              <w:bottom w:w="80" w:type="dxa"/>
              <w:right w:w="70" w:type="dxa"/>
            </w:tcMar>
            <w:vAlign w:val="center"/>
          </w:tcPr>
          <w:p w14:paraId="6310589B">
            <w:pPr>
              <w:jc w:val="center"/>
            </w:pPr>
            <w:r>
              <w:rPr>
                <w:rFonts w:ascii="Times New Roman" w:hAnsi="Times New Roman" w:eastAsia="Times New Roman"/>
                <w:b/>
                <w:sz w:val="16"/>
              </w:rPr>
              <w:t>95% CI</w:t>
            </w:r>
          </w:p>
        </w:tc>
      </w:tr>
      <w:tr w14:paraId="297C5804">
        <w:trPr>
          <w:jc w:val="center"/>
        </w:trPr>
        <w:tc>
          <w:tcPr>
            <w:tcW w:w="8304" w:type="dxa"/>
            <w:gridSpan w:val="6"/>
            <w:shd w:val="clear" w:color="auto" w:fill="F2F2F2"/>
            <w:tcMar>
              <w:top w:w="80" w:type="dxa"/>
              <w:left w:w="70" w:type="dxa"/>
              <w:bottom w:w="80" w:type="dxa"/>
              <w:right w:w="70" w:type="dxa"/>
            </w:tcMar>
          </w:tcPr>
          <w:p w14:paraId="041C4283">
            <w:pPr>
              <w:jc w:val="left"/>
            </w:pPr>
            <w:r>
              <w:rPr>
                <w:rFonts w:ascii="Times New Roman" w:hAnsi="Times New Roman" w:eastAsia="Times New Roman"/>
                <w:b/>
                <w:sz w:val="16"/>
              </w:rPr>
              <w:t>Panel A: Continuous exposure; Dependent variable = flow_w</w:t>
            </w:r>
          </w:p>
        </w:tc>
      </w:tr>
      <w:tr w14:paraId="0A7AF564">
        <w:trPr>
          <w:jc w:val="center"/>
        </w:trPr>
        <w:tc>
          <w:tcPr>
            <w:tcW w:w="1384" w:type="dxa"/>
            <w:tcMar>
              <w:top w:w="80" w:type="dxa"/>
              <w:left w:w="70" w:type="dxa"/>
              <w:bottom w:w="80" w:type="dxa"/>
              <w:right w:w="70" w:type="dxa"/>
            </w:tcMar>
            <w:vAlign w:val="center"/>
          </w:tcPr>
          <w:p w14:paraId="60E932F9">
            <w:pPr>
              <w:jc w:val="left"/>
            </w:pPr>
            <w:r>
              <w:rPr>
                <w:rFonts w:ascii="Times New Roman" w:hAnsi="Times New Roman" w:eastAsia="Times New Roman"/>
                <w:b w:val="0"/>
                <w:sz w:val="16"/>
              </w:rPr>
              <w:t>const</w:t>
            </w:r>
          </w:p>
        </w:tc>
        <w:tc>
          <w:tcPr>
            <w:tcW w:w="1384" w:type="dxa"/>
            <w:tcMar>
              <w:top w:w="80" w:type="dxa"/>
              <w:left w:w="70" w:type="dxa"/>
              <w:bottom w:w="80" w:type="dxa"/>
              <w:right w:w="70" w:type="dxa"/>
            </w:tcMar>
            <w:vAlign w:val="center"/>
          </w:tcPr>
          <w:p w14:paraId="6DAC2ED6">
            <w:pPr>
              <w:jc w:val="center"/>
            </w:pPr>
            <w:r>
              <w:rPr>
                <w:rFonts w:ascii="Times New Roman" w:hAnsi="Times New Roman" w:eastAsia="Times New Roman"/>
                <w:b w:val="0"/>
                <w:sz w:val="16"/>
              </w:rPr>
              <w:t>0.1153***</w:t>
            </w:r>
          </w:p>
        </w:tc>
        <w:tc>
          <w:tcPr>
            <w:tcW w:w="1384" w:type="dxa"/>
            <w:tcMar>
              <w:top w:w="80" w:type="dxa"/>
              <w:left w:w="70" w:type="dxa"/>
              <w:bottom w:w="80" w:type="dxa"/>
              <w:right w:w="70" w:type="dxa"/>
            </w:tcMar>
            <w:vAlign w:val="center"/>
          </w:tcPr>
          <w:p w14:paraId="0B462210">
            <w:pPr>
              <w:jc w:val="center"/>
            </w:pPr>
            <w:r>
              <w:rPr>
                <w:rFonts w:ascii="Times New Roman" w:hAnsi="Times New Roman" w:eastAsia="Times New Roman"/>
                <w:b w:val="0"/>
                <w:sz w:val="16"/>
              </w:rPr>
              <w:t>0.0095</w:t>
            </w:r>
          </w:p>
        </w:tc>
        <w:tc>
          <w:tcPr>
            <w:tcW w:w="1384" w:type="dxa"/>
            <w:tcMar>
              <w:top w:w="80" w:type="dxa"/>
              <w:left w:w="70" w:type="dxa"/>
              <w:bottom w:w="80" w:type="dxa"/>
              <w:right w:w="70" w:type="dxa"/>
            </w:tcMar>
            <w:vAlign w:val="center"/>
          </w:tcPr>
          <w:p w14:paraId="707252FA">
            <w:pPr>
              <w:jc w:val="center"/>
            </w:pPr>
            <w:r>
              <w:rPr>
                <w:rFonts w:ascii="Times New Roman" w:hAnsi="Times New Roman" w:eastAsia="Times New Roman"/>
                <w:b w:val="0"/>
                <w:sz w:val="16"/>
              </w:rPr>
              <w:t>12.173</w:t>
            </w:r>
          </w:p>
        </w:tc>
        <w:tc>
          <w:tcPr>
            <w:tcW w:w="1384" w:type="dxa"/>
            <w:tcMar>
              <w:top w:w="80" w:type="dxa"/>
              <w:left w:w="70" w:type="dxa"/>
              <w:bottom w:w="80" w:type="dxa"/>
              <w:right w:w="70" w:type="dxa"/>
            </w:tcMar>
            <w:vAlign w:val="center"/>
          </w:tcPr>
          <w:p w14:paraId="1A07A05A">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61664AA6">
            <w:pPr>
              <w:jc w:val="center"/>
            </w:pPr>
            <w:r>
              <w:rPr>
                <w:rFonts w:ascii="Times New Roman" w:hAnsi="Times New Roman" w:eastAsia="Times New Roman"/>
                <w:b w:val="0"/>
                <w:sz w:val="16"/>
              </w:rPr>
              <w:t>[0.0967, 0.1339]</w:t>
            </w:r>
          </w:p>
        </w:tc>
      </w:tr>
      <w:tr w14:paraId="3C1EE0CA">
        <w:trPr>
          <w:jc w:val="center"/>
        </w:trPr>
        <w:tc>
          <w:tcPr>
            <w:tcW w:w="1384" w:type="dxa"/>
            <w:tcMar>
              <w:top w:w="80" w:type="dxa"/>
              <w:left w:w="70" w:type="dxa"/>
              <w:bottom w:w="80" w:type="dxa"/>
              <w:right w:w="70" w:type="dxa"/>
            </w:tcMar>
            <w:vAlign w:val="center"/>
          </w:tcPr>
          <w:p w14:paraId="2DD27235">
            <w:pPr>
              <w:jc w:val="left"/>
            </w:pPr>
            <w:r>
              <w:rPr>
                <w:rFonts w:ascii="Times New Roman" w:hAnsi="Times New Roman" w:eastAsia="Times New Roman"/>
                <w:b w:val="0"/>
                <w:sz w:val="16"/>
              </w:rPr>
              <w:t>AI_post</w:t>
            </w:r>
          </w:p>
        </w:tc>
        <w:tc>
          <w:tcPr>
            <w:tcW w:w="1384" w:type="dxa"/>
            <w:tcMar>
              <w:top w:w="80" w:type="dxa"/>
              <w:left w:w="70" w:type="dxa"/>
              <w:bottom w:w="80" w:type="dxa"/>
              <w:right w:w="70" w:type="dxa"/>
            </w:tcMar>
            <w:vAlign w:val="center"/>
          </w:tcPr>
          <w:p w14:paraId="688D5EDD">
            <w:pPr>
              <w:jc w:val="center"/>
            </w:pPr>
            <w:r>
              <w:rPr>
                <w:rFonts w:ascii="Times New Roman" w:hAnsi="Times New Roman" w:eastAsia="Times New Roman"/>
                <w:b w:val="0"/>
                <w:sz w:val="16"/>
              </w:rPr>
              <w:t>0.0057***</w:t>
            </w:r>
          </w:p>
        </w:tc>
        <w:tc>
          <w:tcPr>
            <w:tcW w:w="1384" w:type="dxa"/>
            <w:tcMar>
              <w:top w:w="80" w:type="dxa"/>
              <w:left w:w="70" w:type="dxa"/>
              <w:bottom w:w="80" w:type="dxa"/>
              <w:right w:w="70" w:type="dxa"/>
            </w:tcMar>
            <w:vAlign w:val="center"/>
          </w:tcPr>
          <w:p w14:paraId="56EBD7C8">
            <w:pPr>
              <w:jc w:val="center"/>
            </w:pPr>
            <w:r>
              <w:rPr>
                <w:rFonts w:ascii="Times New Roman" w:hAnsi="Times New Roman" w:eastAsia="Times New Roman"/>
                <w:b w:val="0"/>
                <w:sz w:val="16"/>
              </w:rPr>
              <w:t>0.0009</w:t>
            </w:r>
          </w:p>
        </w:tc>
        <w:tc>
          <w:tcPr>
            <w:tcW w:w="1384" w:type="dxa"/>
            <w:tcMar>
              <w:top w:w="80" w:type="dxa"/>
              <w:left w:w="70" w:type="dxa"/>
              <w:bottom w:w="80" w:type="dxa"/>
              <w:right w:w="70" w:type="dxa"/>
            </w:tcMar>
            <w:vAlign w:val="center"/>
          </w:tcPr>
          <w:p w14:paraId="47D0A6D0">
            <w:pPr>
              <w:jc w:val="center"/>
            </w:pPr>
            <w:r>
              <w:rPr>
                <w:rFonts w:ascii="Times New Roman" w:hAnsi="Times New Roman" w:eastAsia="Times New Roman"/>
                <w:b w:val="0"/>
                <w:sz w:val="16"/>
              </w:rPr>
              <w:t>6.4092</w:t>
            </w:r>
          </w:p>
        </w:tc>
        <w:tc>
          <w:tcPr>
            <w:tcW w:w="1384" w:type="dxa"/>
            <w:tcMar>
              <w:top w:w="80" w:type="dxa"/>
              <w:left w:w="70" w:type="dxa"/>
              <w:bottom w:w="80" w:type="dxa"/>
              <w:right w:w="70" w:type="dxa"/>
            </w:tcMar>
            <w:vAlign w:val="center"/>
          </w:tcPr>
          <w:p w14:paraId="4B7A937B">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64C33E6A">
            <w:pPr>
              <w:jc w:val="center"/>
            </w:pPr>
            <w:r>
              <w:rPr>
                <w:rFonts w:ascii="Times New Roman" w:hAnsi="Times New Roman" w:eastAsia="Times New Roman"/>
                <w:b w:val="0"/>
                <w:sz w:val="16"/>
              </w:rPr>
              <w:t>[0.0040, 0.0075]</w:t>
            </w:r>
          </w:p>
        </w:tc>
      </w:tr>
      <w:tr w14:paraId="6358AAF6">
        <w:trPr>
          <w:jc w:val="center"/>
        </w:trPr>
        <w:tc>
          <w:tcPr>
            <w:tcW w:w="1384" w:type="dxa"/>
            <w:tcMar>
              <w:top w:w="80" w:type="dxa"/>
              <w:left w:w="70" w:type="dxa"/>
              <w:bottom w:w="80" w:type="dxa"/>
              <w:right w:w="70" w:type="dxa"/>
            </w:tcMar>
            <w:vAlign w:val="center"/>
          </w:tcPr>
          <w:p w14:paraId="21973F57">
            <w:pPr>
              <w:jc w:val="left"/>
            </w:pPr>
            <w:r>
              <w:rPr>
                <w:rFonts w:ascii="Times New Roman" w:hAnsi="Times New Roman" w:eastAsia="Times New Roman"/>
                <w:b w:val="0"/>
                <w:sz w:val="16"/>
              </w:rPr>
              <w:t>log_mtna_lag</w:t>
            </w:r>
          </w:p>
        </w:tc>
        <w:tc>
          <w:tcPr>
            <w:tcW w:w="1384" w:type="dxa"/>
            <w:tcMar>
              <w:top w:w="80" w:type="dxa"/>
              <w:left w:w="70" w:type="dxa"/>
              <w:bottom w:w="80" w:type="dxa"/>
              <w:right w:w="70" w:type="dxa"/>
            </w:tcMar>
            <w:vAlign w:val="center"/>
          </w:tcPr>
          <w:p w14:paraId="5F0ED5A2">
            <w:pPr>
              <w:jc w:val="center"/>
            </w:pPr>
            <w:r>
              <w:rPr>
                <w:rFonts w:ascii="Times New Roman" w:hAnsi="Times New Roman" w:eastAsia="Times New Roman"/>
                <w:b w:val="0"/>
                <w:sz w:val="16"/>
              </w:rPr>
              <w:t>-0.0319***</w:t>
            </w:r>
          </w:p>
        </w:tc>
        <w:tc>
          <w:tcPr>
            <w:tcW w:w="1384" w:type="dxa"/>
            <w:tcMar>
              <w:top w:w="80" w:type="dxa"/>
              <w:left w:w="70" w:type="dxa"/>
              <w:bottom w:w="80" w:type="dxa"/>
              <w:right w:w="70" w:type="dxa"/>
            </w:tcMar>
            <w:vAlign w:val="center"/>
          </w:tcPr>
          <w:p w14:paraId="62B5522D">
            <w:pPr>
              <w:jc w:val="center"/>
            </w:pPr>
            <w:r>
              <w:rPr>
                <w:rFonts w:ascii="Times New Roman" w:hAnsi="Times New Roman" w:eastAsia="Times New Roman"/>
                <w:b w:val="0"/>
                <w:sz w:val="16"/>
              </w:rPr>
              <w:t>0.0025</w:t>
            </w:r>
          </w:p>
        </w:tc>
        <w:tc>
          <w:tcPr>
            <w:tcW w:w="1384" w:type="dxa"/>
            <w:tcMar>
              <w:top w:w="80" w:type="dxa"/>
              <w:left w:w="70" w:type="dxa"/>
              <w:bottom w:w="80" w:type="dxa"/>
              <w:right w:w="70" w:type="dxa"/>
            </w:tcMar>
            <w:vAlign w:val="center"/>
          </w:tcPr>
          <w:p w14:paraId="7C905ACD">
            <w:pPr>
              <w:jc w:val="center"/>
            </w:pPr>
            <w:r>
              <w:rPr>
                <w:rFonts w:ascii="Times New Roman" w:hAnsi="Times New Roman" w:eastAsia="Times New Roman"/>
                <w:b w:val="0"/>
                <w:sz w:val="16"/>
              </w:rPr>
              <w:t>-12.603</w:t>
            </w:r>
          </w:p>
        </w:tc>
        <w:tc>
          <w:tcPr>
            <w:tcW w:w="1384" w:type="dxa"/>
            <w:tcMar>
              <w:top w:w="80" w:type="dxa"/>
              <w:left w:w="70" w:type="dxa"/>
              <w:bottom w:w="80" w:type="dxa"/>
              <w:right w:w="70" w:type="dxa"/>
            </w:tcMar>
            <w:vAlign w:val="center"/>
          </w:tcPr>
          <w:p w14:paraId="71423509">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4B037406">
            <w:pPr>
              <w:jc w:val="center"/>
            </w:pPr>
            <w:r>
              <w:rPr>
                <w:rFonts w:ascii="Times New Roman" w:hAnsi="Times New Roman" w:eastAsia="Times New Roman"/>
                <w:b w:val="0"/>
                <w:sz w:val="16"/>
              </w:rPr>
              <w:t>[-0.0368, -0.0269]</w:t>
            </w:r>
          </w:p>
        </w:tc>
      </w:tr>
      <w:tr w14:paraId="588C0FD3">
        <w:trPr>
          <w:jc w:val="center"/>
        </w:trPr>
        <w:tc>
          <w:tcPr>
            <w:tcW w:w="1384" w:type="dxa"/>
            <w:tcMar>
              <w:top w:w="80" w:type="dxa"/>
              <w:left w:w="70" w:type="dxa"/>
              <w:bottom w:w="80" w:type="dxa"/>
              <w:right w:w="70" w:type="dxa"/>
            </w:tcMar>
            <w:vAlign w:val="center"/>
          </w:tcPr>
          <w:p w14:paraId="7B163F44">
            <w:pPr>
              <w:jc w:val="left"/>
            </w:pPr>
            <w:r>
              <w:rPr>
                <w:rFonts w:ascii="Times New Roman" w:hAnsi="Times New Roman" w:eastAsia="Times New Roman"/>
                <w:b w:val="0"/>
                <w:sz w:val="16"/>
              </w:rPr>
              <w:t>mret_lag</w:t>
            </w:r>
          </w:p>
        </w:tc>
        <w:tc>
          <w:tcPr>
            <w:tcW w:w="1384" w:type="dxa"/>
            <w:tcMar>
              <w:top w:w="80" w:type="dxa"/>
              <w:left w:w="70" w:type="dxa"/>
              <w:bottom w:w="80" w:type="dxa"/>
              <w:right w:w="70" w:type="dxa"/>
            </w:tcMar>
            <w:vAlign w:val="center"/>
          </w:tcPr>
          <w:p w14:paraId="0E874A8A">
            <w:pPr>
              <w:jc w:val="center"/>
            </w:pPr>
            <w:r>
              <w:rPr>
                <w:rFonts w:ascii="Times New Roman" w:hAnsi="Times New Roman" w:eastAsia="Times New Roman"/>
                <w:b w:val="0"/>
                <w:sz w:val="16"/>
              </w:rPr>
              <w:t>0.1369***</w:t>
            </w:r>
          </w:p>
        </w:tc>
        <w:tc>
          <w:tcPr>
            <w:tcW w:w="1384" w:type="dxa"/>
            <w:tcMar>
              <w:top w:w="80" w:type="dxa"/>
              <w:left w:w="70" w:type="dxa"/>
              <w:bottom w:w="80" w:type="dxa"/>
              <w:right w:w="70" w:type="dxa"/>
            </w:tcMar>
            <w:vAlign w:val="center"/>
          </w:tcPr>
          <w:p w14:paraId="5933123F">
            <w:pPr>
              <w:jc w:val="center"/>
            </w:pPr>
            <w:r>
              <w:rPr>
                <w:rFonts w:ascii="Times New Roman" w:hAnsi="Times New Roman" w:eastAsia="Times New Roman"/>
                <w:b w:val="0"/>
                <w:sz w:val="16"/>
              </w:rPr>
              <w:t>0.0213</w:t>
            </w:r>
          </w:p>
        </w:tc>
        <w:tc>
          <w:tcPr>
            <w:tcW w:w="1384" w:type="dxa"/>
            <w:tcMar>
              <w:top w:w="80" w:type="dxa"/>
              <w:left w:w="70" w:type="dxa"/>
              <w:bottom w:w="80" w:type="dxa"/>
              <w:right w:w="70" w:type="dxa"/>
            </w:tcMar>
            <w:vAlign w:val="center"/>
          </w:tcPr>
          <w:p w14:paraId="5F40D374">
            <w:pPr>
              <w:jc w:val="center"/>
            </w:pPr>
            <w:r>
              <w:rPr>
                <w:rFonts w:ascii="Times New Roman" w:hAnsi="Times New Roman" w:eastAsia="Times New Roman"/>
                <w:b w:val="0"/>
                <w:sz w:val="16"/>
              </w:rPr>
              <w:t>6.4177</w:t>
            </w:r>
          </w:p>
        </w:tc>
        <w:tc>
          <w:tcPr>
            <w:tcW w:w="1384" w:type="dxa"/>
            <w:tcMar>
              <w:top w:w="80" w:type="dxa"/>
              <w:left w:w="70" w:type="dxa"/>
              <w:bottom w:w="80" w:type="dxa"/>
              <w:right w:w="70" w:type="dxa"/>
            </w:tcMar>
            <w:vAlign w:val="center"/>
          </w:tcPr>
          <w:p w14:paraId="48F47852">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6EEA0E8E">
            <w:pPr>
              <w:jc w:val="center"/>
            </w:pPr>
            <w:r>
              <w:rPr>
                <w:rFonts w:ascii="Times New Roman" w:hAnsi="Times New Roman" w:eastAsia="Times New Roman"/>
                <w:b w:val="0"/>
                <w:sz w:val="16"/>
              </w:rPr>
              <w:t>[0.0951, 0.1787]</w:t>
            </w:r>
          </w:p>
        </w:tc>
      </w:tr>
      <w:tr w14:paraId="687671C7">
        <w:trPr>
          <w:jc w:val="center"/>
        </w:trPr>
        <w:tc>
          <w:tcPr>
            <w:tcW w:w="1384" w:type="dxa"/>
            <w:tcMar>
              <w:top w:w="80" w:type="dxa"/>
              <w:left w:w="70" w:type="dxa"/>
              <w:bottom w:w="80" w:type="dxa"/>
              <w:right w:w="70" w:type="dxa"/>
            </w:tcMar>
            <w:vAlign w:val="center"/>
          </w:tcPr>
          <w:p w14:paraId="1DF18CDE">
            <w:pPr>
              <w:jc w:val="left"/>
            </w:pPr>
            <w:r>
              <w:rPr>
                <w:rFonts w:ascii="Times New Roman" w:hAnsi="Times New Roman" w:eastAsia="Times New Roman"/>
                <w:b w:val="0"/>
                <w:sz w:val="16"/>
              </w:rPr>
              <w:t>flow_lag</w:t>
            </w:r>
          </w:p>
        </w:tc>
        <w:tc>
          <w:tcPr>
            <w:tcW w:w="1384" w:type="dxa"/>
            <w:tcMar>
              <w:top w:w="80" w:type="dxa"/>
              <w:left w:w="70" w:type="dxa"/>
              <w:bottom w:w="80" w:type="dxa"/>
              <w:right w:w="70" w:type="dxa"/>
            </w:tcMar>
            <w:vAlign w:val="center"/>
          </w:tcPr>
          <w:p w14:paraId="16E41EB6">
            <w:pPr>
              <w:jc w:val="center"/>
            </w:pPr>
            <w:r>
              <w:rPr>
                <w:rFonts w:ascii="Times New Roman" w:hAnsi="Times New Roman" w:eastAsia="Times New Roman"/>
                <w:b w:val="0"/>
                <w:sz w:val="16"/>
              </w:rPr>
              <w:t>-0.0923***</w:t>
            </w:r>
          </w:p>
        </w:tc>
        <w:tc>
          <w:tcPr>
            <w:tcW w:w="1384" w:type="dxa"/>
            <w:tcMar>
              <w:top w:w="80" w:type="dxa"/>
              <w:left w:w="70" w:type="dxa"/>
              <w:bottom w:w="80" w:type="dxa"/>
              <w:right w:w="70" w:type="dxa"/>
            </w:tcMar>
            <w:vAlign w:val="center"/>
          </w:tcPr>
          <w:p w14:paraId="4B8D830F">
            <w:pPr>
              <w:jc w:val="center"/>
            </w:pPr>
            <w:r>
              <w:rPr>
                <w:rFonts w:ascii="Times New Roman" w:hAnsi="Times New Roman" w:eastAsia="Times New Roman"/>
                <w:b w:val="0"/>
                <w:sz w:val="16"/>
              </w:rPr>
              <w:t>0.0132</w:t>
            </w:r>
          </w:p>
        </w:tc>
        <w:tc>
          <w:tcPr>
            <w:tcW w:w="1384" w:type="dxa"/>
            <w:tcMar>
              <w:top w:w="80" w:type="dxa"/>
              <w:left w:w="70" w:type="dxa"/>
              <w:bottom w:w="80" w:type="dxa"/>
              <w:right w:w="70" w:type="dxa"/>
            </w:tcMar>
            <w:vAlign w:val="center"/>
          </w:tcPr>
          <w:p w14:paraId="295C73B3">
            <w:pPr>
              <w:jc w:val="center"/>
            </w:pPr>
            <w:r>
              <w:rPr>
                <w:rFonts w:ascii="Times New Roman" w:hAnsi="Times New Roman" w:eastAsia="Times New Roman"/>
                <w:b w:val="0"/>
                <w:sz w:val="16"/>
              </w:rPr>
              <w:t>-6.9921</w:t>
            </w:r>
          </w:p>
        </w:tc>
        <w:tc>
          <w:tcPr>
            <w:tcW w:w="1384" w:type="dxa"/>
            <w:tcMar>
              <w:top w:w="80" w:type="dxa"/>
              <w:left w:w="70" w:type="dxa"/>
              <w:bottom w:w="80" w:type="dxa"/>
              <w:right w:w="70" w:type="dxa"/>
            </w:tcMar>
            <w:vAlign w:val="center"/>
          </w:tcPr>
          <w:p w14:paraId="13CC2DFC">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1E5B6E54">
            <w:pPr>
              <w:jc w:val="center"/>
            </w:pPr>
            <w:r>
              <w:rPr>
                <w:rFonts w:ascii="Times New Roman" w:hAnsi="Times New Roman" w:eastAsia="Times New Roman"/>
                <w:b w:val="0"/>
                <w:sz w:val="16"/>
              </w:rPr>
              <w:t>[-0.1182, -0.0665]</w:t>
            </w:r>
          </w:p>
        </w:tc>
      </w:tr>
      <w:tr w14:paraId="533BCEE4">
        <w:trPr>
          <w:jc w:val="center"/>
        </w:trPr>
        <w:tc>
          <w:tcPr>
            <w:tcW w:w="1384" w:type="dxa"/>
            <w:tcMar>
              <w:top w:w="80" w:type="dxa"/>
              <w:left w:w="70" w:type="dxa"/>
              <w:bottom w:w="80" w:type="dxa"/>
              <w:right w:w="70" w:type="dxa"/>
            </w:tcMar>
            <w:vAlign w:val="center"/>
          </w:tcPr>
          <w:p w14:paraId="21BC850F">
            <w:pPr>
              <w:jc w:val="left"/>
            </w:pPr>
            <w:r>
              <w:rPr>
                <w:rFonts w:ascii="Times New Roman" w:hAnsi="Times New Roman" w:eastAsia="Times New Roman"/>
                <w:b/>
                <w:sz w:val="16"/>
              </w:rPr>
              <w:t>Observations</w:t>
            </w:r>
          </w:p>
        </w:tc>
        <w:tc>
          <w:tcPr>
            <w:tcW w:w="1384" w:type="dxa"/>
            <w:tcMar>
              <w:top w:w="80" w:type="dxa"/>
              <w:left w:w="70" w:type="dxa"/>
              <w:bottom w:w="80" w:type="dxa"/>
              <w:right w:w="70" w:type="dxa"/>
            </w:tcMar>
            <w:vAlign w:val="center"/>
          </w:tcPr>
          <w:p w14:paraId="7BEFAE13">
            <w:pPr>
              <w:jc w:val="center"/>
            </w:pPr>
            <w:r>
              <w:rPr>
                <w:rFonts w:ascii="Times New Roman" w:hAnsi="Times New Roman" w:eastAsia="Times New Roman"/>
                <w:b w:val="0"/>
                <w:sz w:val="16"/>
              </w:rPr>
              <w:t>81,262</w:t>
            </w:r>
          </w:p>
        </w:tc>
        <w:tc>
          <w:tcPr>
            <w:tcW w:w="1384" w:type="dxa"/>
            <w:tcMar>
              <w:top w:w="80" w:type="dxa"/>
              <w:left w:w="70" w:type="dxa"/>
              <w:bottom w:w="80" w:type="dxa"/>
              <w:right w:w="70" w:type="dxa"/>
            </w:tcMar>
            <w:vAlign w:val="center"/>
          </w:tcPr>
          <w:p w14:paraId="132DCB4A">
            <w:pPr>
              <w:jc w:val="center"/>
            </w:pPr>
          </w:p>
        </w:tc>
        <w:tc>
          <w:tcPr>
            <w:tcW w:w="1384" w:type="dxa"/>
            <w:tcMar>
              <w:top w:w="80" w:type="dxa"/>
              <w:left w:w="70" w:type="dxa"/>
              <w:bottom w:w="80" w:type="dxa"/>
              <w:right w:w="70" w:type="dxa"/>
            </w:tcMar>
            <w:vAlign w:val="center"/>
          </w:tcPr>
          <w:p w14:paraId="39692635">
            <w:pPr>
              <w:jc w:val="center"/>
            </w:pPr>
          </w:p>
        </w:tc>
        <w:tc>
          <w:tcPr>
            <w:tcW w:w="1384" w:type="dxa"/>
            <w:tcMar>
              <w:top w:w="80" w:type="dxa"/>
              <w:left w:w="70" w:type="dxa"/>
              <w:bottom w:w="80" w:type="dxa"/>
              <w:right w:w="70" w:type="dxa"/>
            </w:tcMar>
            <w:vAlign w:val="center"/>
          </w:tcPr>
          <w:p w14:paraId="365FDC56">
            <w:pPr>
              <w:jc w:val="center"/>
            </w:pPr>
          </w:p>
        </w:tc>
        <w:tc>
          <w:tcPr>
            <w:tcW w:w="1384" w:type="dxa"/>
            <w:tcMar>
              <w:top w:w="80" w:type="dxa"/>
              <w:left w:w="70" w:type="dxa"/>
              <w:bottom w:w="80" w:type="dxa"/>
              <w:right w:w="70" w:type="dxa"/>
            </w:tcMar>
            <w:vAlign w:val="center"/>
          </w:tcPr>
          <w:p w14:paraId="0F60EA1D">
            <w:pPr>
              <w:jc w:val="center"/>
            </w:pPr>
          </w:p>
        </w:tc>
      </w:tr>
      <w:tr w14:paraId="7083C9B1">
        <w:trPr>
          <w:jc w:val="center"/>
        </w:trPr>
        <w:tc>
          <w:tcPr>
            <w:tcW w:w="1384" w:type="dxa"/>
            <w:tcMar>
              <w:top w:w="80" w:type="dxa"/>
              <w:left w:w="70" w:type="dxa"/>
              <w:bottom w:w="80" w:type="dxa"/>
              <w:right w:w="70" w:type="dxa"/>
            </w:tcMar>
            <w:vAlign w:val="center"/>
          </w:tcPr>
          <w:p w14:paraId="5F135148">
            <w:pPr>
              <w:jc w:val="left"/>
            </w:pPr>
            <w:r>
              <w:rPr>
                <w:rFonts w:ascii="Times New Roman" w:hAnsi="Times New Roman" w:eastAsia="Times New Roman"/>
                <w:b/>
                <w:sz w:val="16"/>
              </w:rPr>
              <w:t>R-squared</w:t>
            </w:r>
          </w:p>
        </w:tc>
        <w:tc>
          <w:tcPr>
            <w:tcW w:w="1384" w:type="dxa"/>
            <w:tcMar>
              <w:top w:w="80" w:type="dxa"/>
              <w:left w:w="70" w:type="dxa"/>
              <w:bottom w:w="80" w:type="dxa"/>
              <w:right w:w="70" w:type="dxa"/>
            </w:tcMar>
            <w:vAlign w:val="center"/>
          </w:tcPr>
          <w:p w14:paraId="560FFE31">
            <w:pPr>
              <w:jc w:val="center"/>
            </w:pPr>
            <w:r>
              <w:rPr>
                <w:rFonts w:ascii="Times New Roman" w:hAnsi="Times New Roman" w:eastAsia="Times New Roman"/>
                <w:b w:val="0"/>
                <w:sz w:val="16"/>
              </w:rPr>
              <w:t>0.0371</w:t>
            </w:r>
          </w:p>
        </w:tc>
        <w:tc>
          <w:tcPr>
            <w:tcW w:w="1384" w:type="dxa"/>
            <w:tcMar>
              <w:top w:w="80" w:type="dxa"/>
              <w:left w:w="70" w:type="dxa"/>
              <w:bottom w:w="80" w:type="dxa"/>
              <w:right w:w="70" w:type="dxa"/>
            </w:tcMar>
            <w:vAlign w:val="center"/>
          </w:tcPr>
          <w:p w14:paraId="2EAE30DB">
            <w:pPr>
              <w:jc w:val="center"/>
            </w:pPr>
          </w:p>
        </w:tc>
        <w:tc>
          <w:tcPr>
            <w:tcW w:w="1384" w:type="dxa"/>
            <w:tcMar>
              <w:top w:w="80" w:type="dxa"/>
              <w:left w:w="70" w:type="dxa"/>
              <w:bottom w:w="80" w:type="dxa"/>
              <w:right w:w="70" w:type="dxa"/>
            </w:tcMar>
            <w:vAlign w:val="center"/>
          </w:tcPr>
          <w:p w14:paraId="7B8BDCDC">
            <w:pPr>
              <w:jc w:val="center"/>
            </w:pPr>
          </w:p>
        </w:tc>
        <w:tc>
          <w:tcPr>
            <w:tcW w:w="1384" w:type="dxa"/>
            <w:tcMar>
              <w:top w:w="80" w:type="dxa"/>
              <w:left w:w="70" w:type="dxa"/>
              <w:bottom w:w="80" w:type="dxa"/>
              <w:right w:w="70" w:type="dxa"/>
            </w:tcMar>
            <w:vAlign w:val="center"/>
          </w:tcPr>
          <w:p w14:paraId="2D2FA12E">
            <w:pPr>
              <w:jc w:val="center"/>
            </w:pPr>
          </w:p>
        </w:tc>
        <w:tc>
          <w:tcPr>
            <w:tcW w:w="1384" w:type="dxa"/>
            <w:tcMar>
              <w:top w:w="80" w:type="dxa"/>
              <w:left w:w="70" w:type="dxa"/>
              <w:bottom w:w="80" w:type="dxa"/>
              <w:right w:w="70" w:type="dxa"/>
            </w:tcMar>
            <w:vAlign w:val="center"/>
          </w:tcPr>
          <w:p w14:paraId="40824432">
            <w:pPr>
              <w:jc w:val="center"/>
            </w:pPr>
          </w:p>
        </w:tc>
      </w:tr>
      <w:tr w14:paraId="5AEE0F0A">
        <w:trPr>
          <w:jc w:val="center"/>
        </w:trPr>
        <w:tc>
          <w:tcPr>
            <w:tcW w:w="8304" w:type="dxa"/>
            <w:gridSpan w:val="6"/>
            <w:shd w:val="clear" w:color="auto" w:fill="F2F2F2"/>
            <w:tcMar>
              <w:top w:w="80" w:type="dxa"/>
              <w:left w:w="70" w:type="dxa"/>
              <w:bottom w:w="80" w:type="dxa"/>
              <w:right w:w="70" w:type="dxa"/>
            </w:tcMar>
          </w:tcPr>
          <w:p w14:paraId="6931AB99">
            <w:pPr>
              <w:jc w:val="left"/>
            </w:pPr>
            <w:r>
              <w:rPr>
                <w:rFonts w:ascii="Times New Roman" w:hAnsi="Times New Roman" w:eastAsia="Times New Roman"/>
                <w:b/>
                <w:sz w:val="16"/>
              </w:rPr>
              <w:t>Panel B: Median-split treatment; Dependent variable = flow_w</w:t>
            </w:r>
          </w:p>
        </w:tc>
      </w:tr>
      <w:tr w14:paraId="02EACB50">
        <w:trPr>
          <w:jc w:val="center"/>
        </w:trPr>
        <w:tc>
          <w:tcPr>
            <w:tcW w:w="1384" w:type="dxa"/>
            <w:tcMar>
              <w:top w:w="80" w:type="dxa"/>
              <w:left w:w="70" w:type="dxa"/>
              <w:bottom w:w="80" w:type="dxa"/>
              <w:right w:w="70" w:type="dxa"/>
            </w:tcMar>
            <w:vAlign w:val="center"/>
          </w:tcPr>
          <w:p w14:paraId="109BA9D5">
            <w:pPr>
              <w:jc w:val="left"/>
            </w:pPr>
            <w:r>
              <w:rPr>
                <w:rFonts w:ascii="Times New Roman" w:hAnsi="Times New Roman" w:eastAsia="Times New Roman"/>
                <w:b w:val="0"/>
                <w:sz w:val="16"/>
              </w:rPr>
              <w:t>const</w:t>
            </w:r>
          </w:p>
        </w:tc>
        <w:tc>
          <w:tcPr>
            <w:tcW w:w="1384" w:type="dxa"/>
            <w:tcMar>
              <w:top w:w="80" w:type="dxa"/>
              <w:left w:w="70" w:type="dxa"/>
              <w:bottom w:w="80" w:type="dxa"/>
              <w:right w:w="70" w:type="dxa"/>
            </w:tcMar>
            <w:vAlign w:val="center"/>
          </w:tcPr>
          <w:p w14:paraId="6D5754D5">
            <w:pPr>
              <w:jc w:val="center"/>
            </w:pPr>
            <w:r>
              <w:rPr>
                <w:rFonts w:ascii="Times New Roman" w:hAnsi="Times New Roman" w:eastAsia="Times New Roman"/>
                <w:b w:val="0"/>
                <w:sz w:val="16"/>
              </w:rPr>
              <w:t>0.1127***</w:t>
            </w:r>
          </w:p>
        </w:tc>
        <w:tc>
          <w:tcPr>
            <w:tcW w:w="1384" w:type="dxa"/>
            <w:tcMar>
              <w:top w:w="80" w:type="dxa"/>
              <w:left w:w="70" w:type="dxa"/>
              <w:bottom w:w="80" w:type="dxa"/>
              <w:right w:w="70" w:type="dxa"/>
            </w:tcMar>
            <w:vAlign w:val="center"/>
          </w:tcPr>
          <w:p w14:paraId="2134A304">
            <w:pPr>
              <w:jc w:val="center"/>
            </w:pPr>
            <w:r>
              <w:rPr>
                <w:rFonts w:ascii="Times New Roman" w:hAnsi="Times New Roman" w:eastAsia="Times New Roman"/>
                <w:b w:val="0"/>
                <w:sz w:val="16"/>
              </w:rPr>
              <w:t>0.0094</w:t>
            </w:r>
          </w:p>
        </w:tc>
        <w:tc>
          <w:tcPr>
            <w:tcW w:w="1384" w:type="dxa"/>
            <w:tcMar>
              <w:top w:w="80" w:type="dxa"/>
              <w:left w:w="70" w:type="dxa"/>
              <w:bottom w:w="80" w:type="dxa"/>
              <w:right w:w="70" w:type="dxa"/>
            </w:tcMar>
            <w:vAlign w:val="center"/>
          </w:tcPr>
          <w:p w14:paraId="464F906B">
            <w:pPr>
              <w:jc w:val="center"/>
            </w:pPr>
            <w:r>
              <w:rPr>
                <w:rFonts w:ascii="Times New Roman" w:hAnsi="Times New Roman" w:eastAsia="Times New Roman"/>
                <w:b w:val="0"/>
                <w:sz w:val="16"/>
              </w:rPr>
              <w:t>12.009</w:t>
            </w:r>
          </w:p>
        </w:tc>
        <w:tc>
          <w:tcPr>
            <w:tcW w:w="1384" w:type="dxa"/>
            <w:tcMar>
              <w:top w:w="80" w:type="dxa"/>
              <w:left w:w="70" w:type="dxa"/>
              <w:bottom w:w="80" w:type="dxa"/>
              <w:right w:w="70" w:type="dxa"/>
            </w:tcMar>
            <w:vAlign w:val="center"/>
          </w:tcPr>
          <w:p w14:paraId="1B06FA6C">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6278CA25">
            <w:pPr>
              <w:jc w:val="center"/>
            </w:pPr>
            <w:r>
              <w:rPr>
                <w:rFonts w:ascii="Times New Roman" w:hAnsi="Times New Roman" w:eastAsia="Times New Roman"/>
                <w:b w:val="0"/>
                <w:sz w:val="16"/>
              </w:rPr>
              <w:t>[0.0943, 0.1311]</w:t>
            </w:r>
          </w:p>
        </w:tc>
      </w:tr>
      <w:tr w14:paraId="4711916E">
        <w:trPr>
          <w:jc w:val="center"/>
        </w:trPr>
        <w:tc>
          <w:tcPr>
            <w:tcW w:w="1384" w:type="dxa"/>
            <w:tcMar>
              <w:top w:w="80" w:type="dxa"/>
              <w:left w:w="70" w:type="dxa"/>
              <w:bottom w:w="80" w:type="dxa"/>
              <w:right w:w="70" w:type="dxa"/>
            </w:tcMar>
            <w:vAlign w:val="center"/>
          </w:tcPr>
          <w:p w14:paraId="0DF0DBF4">
            <w:pPr>
              <w:jc w:val="left"/>
            </w:pPr>
            <w:r>
              <w:rPr>
                <w:rFonts w:ascii="Times New Roman" w:hAnsi="Times New Roman" w:eastAsia="Times New Roman"/>
                <w:b w:val="0"/>
                <w:sz w:val="16"/>
              </w:rPr>
              <w:t>AI_dummy_post</w:t>
            </w:r>
          </w:p>
        </w:tc>
        <w:tc>
          <w:tcPr>
            <w:tcW w:w="1384" w:type="dxa"/>
            <w:tcMar>
              <w:top w:w="80" w:type="dxa"/>
              <w:left w:w="70" w:type="dxa"/>
              <w:bottom w:w="80" w:type="dxa"/>
              <w:right w:w="70" w:type="dxa"/>
            </w:tcMar>
            <w:vAlign w:val="center"/>
          </w:tcPr>
          <w:p w14:paraId="66737901">
            <w:pPr>
              <w:jc w:val="center"/>
            </w:pPr>
            <w:r>
              <w:rPr>
                <w:rFonts w:ascii="Times New Roman" w:hAnsi="Times New Roman" w:eastAsia="Times New Roman"/>
                <w:b w:val="0"/>
                <w:sz w:val="16"/>
              </w:rPr>
              <w:t>0.0076***</w:t>
            </w:r>
          </w:p>
        </w:tc>
        <w:tc>
          <w:tcPr>
            <w:tcW w:w="1384" w:type="dxa"/>
            <w:tcMar>
              <w:top w:w="80" w:type="dxa"/>
              <w:left w:w="70" w:type="dxa"/>
              <w:bottom w:w="80" w:type="dxa"/>
              <w:right w:w="70" w:type="dxa"/>
            </w:tcMar>
            <w:vAlign w:val="center"/>
          </w:tcPr>
          <w:p w14:paraId="79601853">
            <w:pPr>
              <w:jc w:val="center"/>
            </w:pPr>
            <w:r>
              <w:rPr>
                <w:rFonts w:ascii="Times New Roman" w:hAnsi="Times New Roman" w:eastAsia="Times New Roman"/>
                <w:b w:val="0"/>
                <w:sz w:val="16"/>
              </w:rPr>
              <w:t>0.0021</w:t>
            </w:r>
          </w:p>
        </w:tc>
        <w:tc>
          <w:tcPr>
            <w:tcW w:w="1384" w:type="dxa"/>
            <w:tcMar>
              <w:top w:w="80" w:type="dxa"/>
              <w:left w:w="70" w:type="dxa"/>
              <w:bottom w:w="80" w:type="dxa"/>
              <w:right w:w="70" w:type="dxa"/>
            </w:tcMar>
            <w:vAlign w:val="center"/>
          </w:tcPr>
          <w:p w14:paraId="35E062D1">
            <w:pPr>
              <w:jc w:val="center"/>
            </w:pPr>
            <w:r>
              <w:rPr>
                <w:rFonts w:ascii="Times New Roman" w:hAnsi="Times New Roman" w:eastAsia="Times New Roman"/>
                <w:b w:val="0"/>
                <w:sz w:val="16"/>
              </w:rPr>
              <w:t>3.6305</w:t>
            </w:r>
          </w:p>
        </w:tc>
        <w:tc>
          <w:tcPr>
            <w:tcW w:w="1384" w:type="dxa"/>
            <w:tcMar>
              <w:top w:w="80" w:type="dxa"/>
              <w:left w:w="70" w:type="dxa"/>
              <w:bottom w:w="80" w:type="dxa"/>
              <w:right w:w="70" w:type="dxa"/>
            </w:tcMar>
            <w:vAlign w:val="center"/>
          </w:tcPr>
          <w:p w14:paraId="7C013190">
            <w:pPr>
              <w:jc w:val="center"/>
            </w:pPr>
            <w:r>
              <w:rPr>
                <w:rFonts w:ascii="Times New Roman" w:hAnsi="Times New Roman" w:eastAsia="Times New Roman"/>
                <w:b w:val="0"/>
                <w:sz w:val="16"/>
              </w:rPr>
              <w:t>0.0003</w:t>
            </w:r>
          </w:p>
        </w:tc>
        <w:tc>
          <w:tcPr>
            <w:tcW w:w="1384" w:type="dxa"/>
            <w:tcMar>
              <w:top w:w="80" w:type="dxa"/>
              <w:left w:w="70" w:type="dxa"/>
              <w:bottom w:w="80" w:type="dxa"/>
              <w:right w:w="70" w:type="dxa"/>
            </w:tcMar>
            <w:vAlign w:val="center"/>
          </w:tcPr>
          <w:p w14:paraId="42DDB31F">
            <w:pPr>
              <w:jc w:val="center"/>
            </w:pPr>
            <w:r>
              <w:rPr>
                <w:rFonts w:ascii="Times New Roman" w:hAnsi="Times New Roman" w:eastAsia="Times New Roman"/>
                <w:b w:val="0"/>
                <w:sz w:val="16"/>
              </w:rPr>
              <w:t>[0.0035, 0.0118]</w:t>
            </w:r>
          </w:p>
        </w:tc>
      </w:tr>
      <w:tr w14:paraId="6C0A4E99">
        <w:trPr>
          <w:jc w:val="center"/>
        </w:trPr>
        <w:tc>
          <w:tcPr>
            <w:tcW w:w="1384" w:type="dxa"/>
            <w:tcMar>
              <w:top w:w="80" w:type="dxa"/>
              <w:left w:w="70" w:type="dxa"/>
              <w:bottom w:w="80" w:type="dxa"/>
              <w:right w:w="70" w:type="dxa"/>
            </w:tcMar>
            <w:vAlign w:val="center"/>
          </w:tcPr>
          <w:p w14:paraId="4D4E1D8F">
            <w:pPr>
              <w:jc w:val="left"/>
            </w:pPr>
            <w:r>
              <w:rPr>
                <w:rFonts w:ascii="Times New Roman" w:hAnsi="Times New Roman" w:eastAsia="Times New Roman"/>
                <w:b w:val="0"/>
                <w:sz w:val="16"/>
              </w:rPr>
              <w:t>log_mtna_lag</w:t>
            </w:r>
          </w:p>
        </w:tc>
        <w:tc>
          <w:tcPr>
            <w:tcW w:w="1384" w:type="dxa"/>
            <w:tcMar>
              <w:top w:w="80" w:type="dxa"/>
              <w:left w:w="70" w:type="dxa"/>
              <w:bottom w:w="80" w:type="dxa"/>
              <w:right w:w="70" w:type="dxa"/>
            </w:tcMar>
            <w:vAlign w:val="center"/>
          </w:tcPr>
          <w:p w14:paraId="4F5FED52">
            <w:pPr>
              <w:jc w:val="center"/>
            </w:pPr>
            <w:r>
              <w:rPr>
                <w:rFonts w:ascii="Times New Roman" w:hAnsi="Times New Roman" w:eastAsia="Times New Roman"/>
                <w:b w:val="0"/>
                <w:sz w:val="16"/>
              </w:rPr>
              <w:t>-0.0317***</w:t>
            </w:r>
          </w:p>
        </w:tc>
        <w:tc>
          <w:tcPr>
            <w:tcW w:w="1384" w:type="dxa"/>
            <w:tcMar>
              <w:top w:w="80" w:type="dxa"/>
              <w:left w:w="70" w:type="dxa"/>
              <w:bottom w:w="80" w:type="dxa"/>
              <w:right w:w="70" w:type="dxa"/>
            </w:tcMar>
            <w:vAlign w:val="center"/>
          </w:tcPr>
          <w:p w14:paraId="6C73A43B">
            <w:pPr>
              <w:jc w:val="center"/>
            </w:pPr>
            <w:r>
              <w:rPr>
                <w:rFonts w:ascii="Times New Roman" w:hAnsi="Times New Roman" w:eastAsia="Times New Roman"/>
                <w:b w:val="0"/>
                <w:sz w:val="16"/>
              </w:rPr>
              <w:t>0.0025</w:t>
            </w:r>
          </w:p>
        </w:tc>
        <w:tc>
          <w:tcPr>
            <w:tcW w:w="1384" w:type="dxa"/>
            <w:tcMar>
              <w:top w:w="80" w:type="dxa"/>
              <w:left w:w="70" w:type="dxa"/>
              <w:bottom w:w="80" w:type="dxa"/>
              <w:right w:w="70" w:type="dxa"/>
            </w:tcMar>
            <w:vAlign w:val="center"/>
          </w:tcPr>
          <w:p w14:paraId="76B471E2">
            <w:pPr>
              <w:jc w:val="center"/>
            </w:pPr>
            <w:r>
              <w:rPr>
                <w:rFonts w:ascii="Times New Roman" w:hAnsi="Times New Roman" w:eastAsia="Times New Roman"/>
                <w:b w:val="0"/>
                <w:sz w:val="16"/>
              </w:rPr>
              <w:t>-12.582</w:t>
            </w:r>
          </w:p>
        </w:tc>
        <w:tc>
          <w:tcPr>
            <w:tcW w:w="1384" w:type="dxa"/>
            <w:tcMar>
              <w:top w:w="80" w:type="dxa"/>
              <w:left w:w="70" w:type="dxa"/>
              <w:bottom w:w="80" w:type="dxa"/>
              <w:right w:w="70" w:type="dxa"/>
            </w:tcMar>
            <w:vAlign w:val="center"/>
          </w:tcPr>
          <w:p w14:paraId="64A383B3">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487B2DA6">
            <w:pPr>
              <w:jc w:val="center"/>
            </w:pPr>
            <w:r>
              <w:rPr>
                <w:rFonts w:ascii="Times New Roman" w:hAnsi="Times New Roman" w:eastAsia="Times New Roman"/>
                <w:b w:val="0"/>
                <w:sz w:val="16"/>
              </w:rPr>
              <w:t>[-0.0366, -0.0268]</w:t>
            </w:r>
          </w:p>
        </w:tc>
      </w:tr>
      <w:tr w14:paraId="464D488A">
        <w:trPr>
          <w:jc w:val="center"/>
        </w:trPr>
        <w:tc>
          <w:tcPr>
            <w:tcW w:w="1384" w:type="dxa"/>
            <w:tcMar>
              <w:top w:w="80" w:type="dxa"/>
              <w:left w:w="70" w:type="dxa"/>
              <w:bottom w:w="80" w:type="dxa"/>
              <w:right w:w="70" w:type="dxa"/>
            </w:tcMar>
            <w:vAlign w:val="center"/>
          </w:tcPr>
          <w:p w14:paraId="5AC2AAA5">
            <w:pPr>
              <w:jc w:val="left"/>
            </w:pPr>
            <w:r>
              <w:rPr>
                <w:rFonts w:ascii="Times New Roman" w:hAnsi="Times New Roman" w:eastAsia="Times New Roman"/>
                <w:b w:val="0"/>
                <w:sz w:val="16"/>
              </w:rPr>
              <w:t>mret_lag</w:t>
            </w:r>
          </w:p>
        </w:tc>
        <w:tc>
          <w:tcPr>
            <w:tcW w:w="1384" w:type="dxa"/>
            <w:tcMar>
              <w:top w:w="80" w:type="dxa"/>
              <w:left w:w="70" w:type="dxa"/>
              <w:bottom w:w="80" w:type="dxa"/>
              <w:right w:w="70" w:type="dxa"/>
            </w:tcMar>
            <w:vAlign w:val="center"/>
          </w:tcPr>
          <w:p w14:paraId="4287946A">
            <w:pPr>
              <w:jc w:val="center"/>
            </w:pPr>
            <w:r>
              <w:rPr>
                <w:rFonts w:ascii="Times New Roman" w:hAnsi="Times New Roman" w:eastAsia="Times New Roman"/>
                <w:b w:val="0"/>
                <w:sz w:val="16"/>
              </w:rPr>
              <w:t>0.1363***</w:t>
            </w:r>
          </w:p>
        </w:tc>
        <w:tc>
          <w:tcPr>
            <w:tcW w:w="1384" w:type="dxa"/>
            <w:tcMar>
              <w:top w:w="80" w:type="dxa"/>
              <w:left w:w="70" w:type="dxa"/>
              <w:bottom w:w="80" w:type="dxa"/>
              <w:right w:w="70" w:type="dxa"/>
            </w:tcMar>
            <w:vAlign w:val="center"/>
          </w:tcPr>
          <w:p w14:paraId="781C7544">
            <w:pPr>
              <w:jc w:val="center"/>
            </w:pPr>
            <w:r>
              <w:rPr>
                <w:rFonts w:ascii="Times New Roman" w:hAnsi="Times New Roman" w:eastAsia="Times New Roman"/>
                <w:b w:val="0"/>
                <w:sz w:val="16"/>
              </w:rPr>
              <w:t>0.0213</w:t>
            </w:r>
          </w:p>
        </w:tc>
        <w:tc>
          <w:tcPr>
            <w:tcW w:w="1384" w:type="dxa"/>
            <w:tcMar>
              <w:top w:w="80" w:type="dxa"/>
              <w:left w:w="70" w:type="dxa"/>
              <w:bottom w:w="80" w:type="dxa"/>
              <w:right w:w="70" w:type="dxa"/>
            </w:tcMar>
            <w:vAlign w:val="center"/>
          </w:tcPr>
          <w:p w14:paraId="5151CD75">
            <w:pPr>
              <w:jc w:val="center"/>
            </w:pPr>
            <w:r>
              <w:rPr>
                <w:rFonts w:ascii="Times New Roman" w:hAnsi="Times New Roman" w:eastAsia="Times New Roman"/>
                <w:b w:val="0"/>
                <w:sz w:val="16"/>
              </w:rPr>
              <w:t>6.3885</w:t>
            </w:r>
          </w:p>
        </w:tc>
        <w:tc>
          <w:tcPr>
            <w:tcW w:w="1384" w:type="dxa"/>
            <w:tcMar>
              <w:top w:w="80" w:type="dxa"/>
              <w:left w:w="70" w:type="dxa"/>
              <w:bottom w:w="80" w:type="dxa"/>
              <w:right w:w="70" w:type="dxa"/>
            </w:tcMar>
            <w:vAlign w:val="center"/>
          </w:tcPr>
          <w:p w14:paraId="398D214F">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4D41397D">
            <w:pPr>
              <w:jc w:val="center"/>
            </w:pPr>
            <w:r>
              <w:rPr>
                <w:rFonts w:ascii="Times New Roman" w:hAnsi="Times New Roman" w:eastAsia="Times New Roman"/>
                <w:b w:val="0"/>
                <w:sz w:val="16"/>
              </w:rPr>
              <w:t>[0.0945, 0.1781]</w:t>
            </w:r>
          </w:p>
        </w:tc>
      </w:tr>
      <w:tr w14:paraId="73294A1C">
        <w:trPr>
          <w:jc w:val="center"/>
        </w:trPr>
        <w:tc>
          <w:tcPr>
            <w:tcW w:w="1384" w:type="dxa"/>
            <w:tcMar>
              <w:top w:w="80" w:type="dxa"/>
              <w:left w:w="70" w:type="dxa"/>
              <w:bottom w:w="80" w:type="dxa"/>
              <w:right w:w="70" w:type="dxa"/>
            </w:tcMar>
            <w:vAlign w:val="center"/>
          </w:tcPr>
          <w:p w14:paraId="7C92D48C">
            <w:pPr>
              <w:jc w:val="left"/>
            </w:pPr>
            <w:r>
              <w:rPr>
                <w:rFonts w:ascii="Times New Roman" w:hAnsi="Times New Roman" w:eastAsia="Times New Roman"/>
                <w:b w:val="0"/>
                <w:sz w:val="16"/>
              </w:rPr>
              <w:t>flow_lag</w:t>
            </w:r>
          </w:p>
        </w:tc>
        <w:tc>
          <w:tcPr>
            <w:tcW w:w="1384" w:type="dxa"/>
            <w:tcMar>
              <w:top w:w="80" w:type="dxa"/>
              <w:left w:w="70" w:type="dxa"/>
              <w:bottom w:w="80" w:type="dxa"/>
              <w:right w:w="70" w:type="dxa"/>
            </w:tcMar>
            <w:vAlign w:val="center"/>
          </w:tcPr>
          <w:p w14:paraId="43C3A8C3">
            <w:pPr>
              <w:jc w:val="center"/>
            </w:pPr>
            <w:r>
              <w:rPr>
                <w:rFonts w:ascii="Times New Roman" w:hAnsi="Times New Roman" w:eastAsia="Times New Roman"/>
                <w:b w:val="0"/>
                <w:sz w:val="16"/>
              </w:rPr>
              <w:t>-0.0922***</w:t>
            </w:r>
          </w:p>
        </w:tc>
        <w:tc>
          <w:tcPr>
            <w:tcW w:w="1384" w:type="dxa"/>
            <w:tcMar>
              <w:top w:w="80" w:type="dxa"/>
              <w:left w:w="70" w:type="dxa"/>
              <w:bottom w:w="80" w:type="dxa"/>
              <w:right w:w="70" w:type="dxa"/>
            </w:tcMar>
            <w:vAlign w:val="center"/>
          </w:tcPr>
          <w:p w14:paraId="0DBDEDAF">
            <w:pPr>
              <w:jc w:val="center"/>
            </w:pPr>
            <w:r>
              <w:rPr>
                <w:rFonts w:ascii="Times New Roman" w:hAnsi="Times New Roman" w:eastAsia="Times New Roman"/>
                <w:b w:val="0"/>
                <w:sz w:val="16"/>
              </w:rPr>
              <w:t>0.0132</w:t>
            </w:r>
          </w:p>
        </w:tc>
        <w:tc>
          <w:tcPr>
            <w:tcW w:w="1384" w:type="dxa"/>
            <w:tcMar>
              <w:top w:w="80" w:type="dxa"/>
              <w:left w:w="70" w:type="dxa"/>
              <w:bottom w:w="80" w:type="dxa"/>
              <w:right w:w="70" w:type="dxa"/>
            </w:tcMar>
            <w:vAlign w:val="center"/>
          </w:tcPr>
          <w:p w14:paraId="2F5622D7">
            <w:pPr>
              <w:jc w:val="center"/>
            </w:pPr>
            <w:r>
              <w:rPr>
                <w:rFonts w:ascii="Times New Roman" w:hAnsi="Times New Roman" w:eastAsia="Times New Roman"/>
                <w:b w:val="0"/>
                <w:sz w:val="16"/>
              </w:rPr>
              <w:t>-6.9832</w:t>
            </w:r>
          </w:p>
        </w:tc>
        <w:tc>
          <w:tcPr>
            <w:tcW w:w="1384" w:type="dxa"/>
            <w:tcMar>
              <w:top w:w="80" w:type="dxa"/>
              <w:left w:w="70" w:type="dxa"/>
              <w:bottom w:w="80" w:type="dxa"/>
              <w:right w:w="70" w:type="dxa"/>
            </w:tcMar>
            <w:vAlign w:val="center"/>
          </w:tcPr>
          <w:p w14:paraId="59F1E12F">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427A92AB">
            <w:pPr>
              <w:jc w:val="center"/>
            </w:pPr>
            <w:r>
              <w:rPr>
                <w:rFonts w:ascii="Times New Roman" w:hAnsi="Times New Roman" w:eastAsia="Times New Roman"/>
                <w:b w:val="0"/>
                <w:sz w:val="16"/>
              </w:rPr>
              <w:t>[-0.1181, -0.0664]</w:t>
            </w:r>
          </w:p>
        </w:tc>
      </w:tr>
      <w:tr w14:paraId="1178958A">
        <w:trPr>
          <w:jc w:val="center"/>
        </w:trPr>
        <w:tc>
          <w:tcPr>
            <w:tcW w:w="1384" w:type="dxa"/>
            <w:tcMar>
              <w:top w:w="80" w:type="dxa"/>
              <w:left w:w="70" w:type="dxa"/>
              <w:bottom w:w="80" w:type="dxa"/>
              <w:right w:w="70" w:type="dxa"/>
            </w:tcMar>
            <w:vAlign w:val="center"/>
          </w:tcPr>
          <w:p w14:paraId="7371A333">
            <w:pPr>
              <w:jc w:val="left"/>
            </w:pPr>
            <w:r>
              <w:rPr>
                <w:rFonts w:ascii="Times New Roman" w:hAnsi="Times New Roman" w:eastAsia="Times New Roman"/>
                <w:b/>
                <w:sz w:val="16"/>
              </w:rPr>
              <w:t>Observations</w:t>
            </w:r>
          </w:p>
        </w:tc>
        <w:tc>
          <w:tcPr>
            <w:tcW w:w="1384" w:type="dxa"/>
            <w:tcMar>
              <w:top w:w="80" w:type="dxa"/>
              <w:left w:w="70" w:type="dxa"/>
              <w:bottom w:w="80" w:type="dxa"/>
              <w:right w:w="70" w:type="dxa"/>
            </w:tcMar>
            <w:vAlign w:val="center"/>
          </w:tcPr>
          <w:p w14:paraId="20DB1CB6">
            <w:pPr>
              <w:jc w:val="center"/>
            </w:pPr>
            <w:r>
              <w:rPr>
                <w:rFonts w:ascii="Times New Roman" w:hAnsi="Times New Roman" w:eastAsia="Times New Roman"/>
                <w:b w:val="0"/>
                <w:sz w:val="16"/>
              </w:rPr>
              <w:t>81,262</w:t>
            </w:r>
          </w:p>
        </w:tc>
        <w:tc>
          <w:tcPr>
            <w:tcW w:w="1384" w:type="dxa"/>
            <w:tcMar>
              <w:top w:w="80" w:type="dxa"/>
              <w:left w:w="70" w:type="dxa"/>
              <w:bottom w:w="80" w:type="dxa"/>
              <w:right w:w="70" w:type="dxa"/>
            </w:tcMar>
            <w:vAlign w:val="center"/>
          </w:tcPr>
          <w:p w14:paraId="56BFBE65">
            <w:pPr>
              <w:jc w:val="center"/>
            </w:pPr>
          </w:p>
        </w:tc>
        <w:tc>
          <w:tcPr>
            <w:tcW w:w="1384" w:type="dxa"/>
            <w:tcMar>
              <w:top w:w="80" w:type="dxa"/>
              <w:left w:w="70" w:type="dxa"/>
              <w:bottom w:w="80" w:type="dxa"/>
              <w:right w:w="70" w:type="dxa"/>
            </w:tcMar>
            <w:vAlign w:val="center"/>
          </w:tcPr>
          <w:p w14:paraId="2E74AE0F">
            <w:pPr>
              <w:jc w:val="center"/>
            </w:pPr>
          </w:p>
        </w:tc>
        <w:tc>
          <w:tcPr>
            <w:tcW w:w="1384" w:type="dxa"/>
            <w:tcMar>
              <w:top w:w="80" w:type="dxa"/>
              <w:left w:w="70" w:type="dxa"/>
              <w:bottom w:w="80" w:type="dxa"/>
              <w:right w:w="70" w:type="dxa"/>
            </w:tcMar>
            <w:vAlign w:val="center"/>
          </w:tcPr>
          <w:p w14:paraId="60EFF7ED">
            <w:pPr>
              <w:jc w:val="center"/>
            </w:pPr>
          </w:p>
        </w:tc>
        <w:tc>
          <w:tcPr>
            <w:tcW w:w="1384" w:type="dxa"/>
            <w:tcMar>
              <w:top w:w="80" w:type="dxa"/>
              <w:left w:w="70" w:type="dxa"/>
              <w:bottom w:w="80" w:type="dxa"/>
              <w:right w:w="70" w:type="dxa"/>
            </w:tcMar>
            <w:vAlign w:val="center"/>
          </w:tcPr>
          <w:p w14:paraId="2BA7DD7F">
            <w:pPr>
              <w:jc w:val="center"/>
            </w:pPr>
          </w:p>
        </w:tc>
      </w:tr>
      <w:tr w14:paraId="2B7291B5">
        <w:trPr>
          <w:jc w:val="center"/>
        </w:trPr>
        <w:tc>
          <w:tcPr>
            <w:tcW w:w="1384" w:type="dxa"/>
            <w:tcMar>
              <w:top w:w="80" w:type="dxa"/>
              <w:left w:w="70" w:type="dxa"/>
              <w:bottom w:w="80" w:type="dxa"/>
              <w:right w:w="70" w:type="dxa"/>
            </w:tcMar>
            <w:vAlign w:val="center"/>
          </w:tcPr>
          <w:p w14:paraId="51F05479">
            <w:pPr>
              <w:jc w:val="left"/>
            </w:pPr>
            <w:r>
              <w:rPr>
                <w:rFonts w:ascii="Times New Roman" w:hAnsi="Times New Roman" w:eastAsia="Times New Roman"/>
                <w:b/>
                <w:sz w:val="16"/>
              </w:rPr>
              <w:t>R-squared</w:t>
            </w:r>
          </w:p>
        </w:tc>
        <w:tc>
          <w:tcPr>
            <w:tcW w:w="1384" w:type="dxa"/>
            <w:tcMar>
              <w:top w:w="80" w:type="dxa"/>
              <w:left w:w="70" w:type="dxa"/>
              <w:bottom w:w="80" w:type="dxa"/>
              <w:right w:w="70" w:type="dxa"/>
            </w:tcMar>
            <w:vAlign w:val="center"/>
          </w:tcPr>
          <w:p w14:paraId="783225F3">
            <w:pPr>
              <w:jc w:val="center"/>
            </w:pPr>
            <w:r>
              <w:rPr>
                <w:rFonts w:ascii="Times New Roman" w:hAnsi="Times New Roman" w:eastAsia="Times New Roman"/>
                <w:b w:val="0"/>
                <w:sz w:val="16"/>
              </w:rPr>
              <w:t>0.0367</w:t>
            </w:r>
          </w:p>
        </w:tc>
        <w:tc>
          <w:tcPr>
            <w:tcW w:w="1384" w:type="dxa"/>
            <w:tcMar>
              <w:top w:w="80" w:type="dxa"/>
              <w:left w:w="70" w:type="dxa"/>
              <w:bottom w:w="80" w:type="dxa"/>
              <w:right w:w="70" w:type="dxa"/>
            </w:tcMar>
            <w:vAlign w:val="center"/>
          </w:tcPr>
          <w:p w14:paraId="39F445A5">
            <w:pPr>
              <w:jc w:val="center"/>
            </w:pPr>
          </w:p>
        </w:tc>
        <w:tc>
          <w:tcPr>
            <w:tcW w:w="1384" w:type="dxa"/>
            <w:tcMar>
              <w:top w:w="80" w:type="dxa"/>
              <w:left w:w="70" w:type="dxa"/>
              <w:bottom w:w="80" w:type="dxa"/>
              <w:right w:w="70" w:type="dxa"/>
            </w:tcMar>
            <w:vAlign w:val="center"/>
          </w:tcPr>
          <w:p w14:paraId="070FEC26">
            <w:pPr>
              <w:jc w:val="center"/>
            </w:pPr>
          </w:p>
        </w:tc>
        <w:tc>
          <w:tcPr>
            <w:tcW w:w="1384" w:type="dxa"/>
            <w:tcMar>
              <w:top w:w="80" w:type="dxa"/>
              <w:left w:w="70" w:type="dxa"/>
              <w:bottom w:w="80" w:type="dxa"/>
              <w:right w:w="70" w:type="dxa"/>
            </w:tcMar>
            <w:vAlign w:val="center"/>
          </w:tcPr>
          <w:p w14:paraId="134303E8">
            <w:pPr>
              <w:jc w:val="center"/>
            </w:pPr>
          </w:p>
        </w:tc>
        <w:tc>
          <w:tcPr>
            <w:tcW w:w="1384" w:type="dxa"/>
            <w:tcMar>
              <w:top w:w="80" w:type="dxa"/>
              <w:left w:w="70" w:type="dxa"/>
              <w:bottom w:w="80" w:type="dxa"/>
              <w:right w:w="70" w:type="dxa"/>
            </w:tcMar>
            <w:vAlign w:val="center"/>
          </w:tcPr>
          <w:p w14:paraId="38197216">
            <w:pPr>
              <w:jc w:val="center"/>
            </w:pPr>
          </w:p>
        </w:tc>
      </w:tr>
      <w:tr w14:paraId="2A57E909">
        <w:trPr>
          <w:jc w:val="center"/>
        </w:trPr>
        <w:tc>
          <w:tcPr>
            <w:tcW w:w="8304" w:type="dxa"/>
            <w:gridSpan w:val="6"/>
            <w:shd w:val="clear" w:color="auto" w:fill="F2F2F2"/>
            <w:tcMar>
              <w:top w:w="80" w:type="dxa"/>
              <w:left w:w="70" w:type="dxa"/>
              <w:bottom w:w="80" w:type="dxa"/>
              <w:right w:w="70" w:type="dxa"/>
            </w:tcMar>
          </w:tcPr>
          <w:p w14:paraId="54BFCF10">
            <w:pPr>
              <w:jc w:val="left"/>
            </w:pPr>
            <w:r>
              <w:rPr>
                <w:rFonts w:ascii="Times New Roman" w:hAnsi="Times New Roman" w:eastAsia="Times New Roman"/>
                <w:b/>
                <w:sz w:val="16"/>
              </w:rPr>
              <w:t>Panel C: Top-quartile treatment; Dependent variable = flow_w</w:t>
            </w:r>
          </w:p>
        </w:tc>
      </w:tr>
      <w:tr w14:paraId="22B84B0F">
        <w:trPr>
          <w:jc w:val="center"/>
        </w:trPr>
        <w:tc>
          <w:tcPr>
            <w:tcW w:w="1384" w:type="dxa"/>
            <w:tcMar>
              <w:top w:w="80" w:type="dxa"/>
              <w:left w:w="70" w:type="dxa"/>
              <w:bottom w:w="80" w:type="dxa"/>
              <w:right w:w="70" w:type="dxa"/>
            </w:tcMar>
            <w:vAlign w:val="center"/>
          </w:tcPr>
          <w:p w14:paraId="073C9CAA">
            <w:pPr>
              <w:jc w:val="left"/>
            </w:pPr>
            <w:r>
              <w:rPr>
                <w:rFonts w:ascii="Times New Roman" w:hAnsi="Times New Roman" w:eastAsia="Times New Roman"/>
                <w:b w:val="0"/>
                <w:sz w:val="16"/>
              </w:rPr>
              <w:t>const</w:t>
            </w:r>
          </w:p>
        </w:tc>
        <w:tc>
          <w:tcPr>
            <w:tcW w:w="1384" w:type="dxa"/>
            <w:tcMar>
              <w:top w:w="80" w:type="dxa"/>
              <w:left w:w="70" w:type="dxa"/>
              <w:bottom w:w="80" w:type="dxa"/>
              <w:right w:w="70" w:type="dxa"/>
            </w:tcMar>
            <w:vAlign w:val="center"/>
          </w:tcPr>
          <w:p w14:paraId="0FAF6856">
            <w:pPr>
              <w:jc w:val="center"/>
            </w:pPr>
            <w:r>
              <w:rPr>
                <w:rFonts w:ascii="Times New Roman" w:hAnsi="Times New Roman" w:eastAsia="Times New Roman"/>
                <w:b w:val="0"/>
                <w:sz w:val="16"/>
              </w:rPr>
              <w:t>0.1133***</w:t>
            </w:r>
          </w:p>
        </w:tc>
        <w:tc>
          <w:tcPr>
            <w:tcW w:w="1384" w:type="dxa"/>
            <w:tcMar>
              <w:top w:w="80" w:type="dxa"/>
              <w:left w:w="70" w:type="dxa"/>
              <w:bottom w:w="80" w:type="dxa"/>
              <w:right w:w="70" w:type="dxa"/>
            </w:tcMar>
            <w:vAlign w:val="center"/>
          </w:tcPr>
          <w:p w14:paraId="0794C207">
            <w:pPr>
              <w:jc w:val="center"/>
            </w:pPr>
            <w:r>
              <w:rPr>
                <w:rFonts w:ascii="Times New Roman" w:hAnsi="Times New Roman" w:eastAsia="Times New Roman"/>
                <w:b w:val="0"/>
                <w:sz w:val="16"/>
              </w:rPr>
              <w:t>0.0094</w:t>
            </w:r>
          </w:p>
        </w:tc>
        <w:tc>
          <w:tcPr>
            <w:tcW w:w="1384" w:type="dxa"/>
            <w:tcMar>
              <w:top w:w="80" w:type="dxa"/>
              <w:left w:w="70" w:type="dxa"/>
              <w:bottom w:w="80" w:type="dxa"/>
              <w:right w:w="70" w:type="dxa"/>
            </w:tcMar>
            <w:vAlign w:val="center"/>
          </w:tcPr>
          <w:p w14:paraId="69DA0BD4">
            <w:pPr>
              <w:jc w:val="center"/>
            </w:pPr>
            <w:r>
              <w:rPr>
                <w:rFonts w:ascii="Times New Roman" w:hAnsi="Times New Roman" w:eastAsia="Times New Roman"/>
                <w:b w:val="0"/>
                <w:sz w:val="16"/>
              </w:rPr>
              <w:t>12.011</w:t>
            </w:r>
          </w:p>
        </w:tc>
        <w:tc>
          <w:tcPr>
            <w:tcW w:w="1384" w:type="dxa"/>
            <w:tcMar>
              <w:top w:w="80" w:type="dxa"/>
              <w:left w:w="70" w:type="dxa"/>
              <w:bottom w:w="80" w:type="dxa"/>
              <w:right w:w="70" w:type="dxa"/>
            </w:tcMar>
            <w:vAlign w:val="center"/>
          </w:tcPr>
          <w:p w14:paraId="1ABA2392">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173BA03E">
            <w:pPr>
              <w:jc w:val="center"/>
            </w:pPr>
            <w:r>
              <w:rPr>
                <w:rFonts w:ascii="Times New Roman" w:hAnsi="Times New Roman" w:eastAsia="Times New Roman"/>
                <w:b w:val="0"/>
                <w:sz w:val="16"/>
              </w:rPr>
              <w:t>[0.0948, 0.1318]</w:t>
            </w:r>
          </w:p>
        </w:tc>
      </w:tr>
      <w:tr w14:paraId="0C9D9BCC">
        <w:trPr>
          <w:jc w:val="center"/>
        </w:trPr>
        <w:tc>
          <w:tcPr>
            <w:tcW w:w="1384" w:type="dxa"/>
            <w:tcMar>
              <w:top w:w="80" w:type="dxa"/>
              <w:left w:w="70" w:type="dxa"/>
              <w:bottom w:w="80" w:type="dxa"/>
              <w:right w:w="70" w:type="dxa"/>
            </w:tcMar>
            <w:vAlign w:val="center"/>
          </w:tcPr>
          <w:p w14:paraId="0ABCEA54">
            <w:pPr>
              <w:jc w:val="left"/>
            </w:pPr>
            <w:r>
              <w:rPr>
                <w:rFonts w:ascii="Times New Roman" w:hAnsi="Times New Roman" w:eastAsia="Times New Roman"/>
                <w:b w:val="0"/>
                <w:sz w:val="16"/>
              </w:rPr>
              <w:t>AI_dummy_75_post</w:t>
            </w:r>
          </w:p>
        </w:tc>
        <w:tc>
          <w:tcPr>
            <w:tcW w:w="1384" w:type="dxa"/>
            <w:tcMar>
              <w:top w:w="80" w:type="dxa"/>
              <w:left w:w="70" w:type="dxa"/>
              <w:bottom w:w="80" w:type="dxa"/>
              <w:right w:w="70" w:type="dxa"/>
            </w:tcMar>
            <w:vAlign w:val="center"/>
          </w:tcPr>
          <w:p w14:paraId="4C973077">
            <w:pPr>
              <w:jc w:val="center"/>
            </w:pPr>
            <w:r>
              <w:rPr>
                <w:rFonts w:ascii="Times New Roman" w:hAnsi="Times New Roman" w:eastAsia="Times New Roman"/>
                <w:b w:val="0"/>
                <w:sz w:val="16"/>
              </w:rPr>
              <w:t>0.0085***</w:t>
            </w:r>
          </w:p>
        </w:tc>
        <w:tc>
          <w:tcPr>
            <w:tcW w:w="1384" w:type="dxa"/>
            <w:tcMar>
              <w:top w:w="80" w:type="dxa"/>
              <w:left w:w="70" w:type="dxa"/>
              <w:bottom w:w="80" w:type="dxa"/>
              <w:right w:w="70" w:type="dxa"/>
            </w:tcMar>
            <w:vAlign w:val="center"/>
          </w:tcPr>
          <w:p w14:paraId="644E2898">
            <w:pPr>
              <w:jc w:val="center"/>
            </w:pPr>
            <w:r>
              <w:rPr>
                <w:rFonts w:ascii="Times New Roman" w:hAnsi="Times New Roman" w:eastAsia="Times New Roman"/>
                <w:b w:val="0"/>
                <w:sz w:val="16"/>
              </w:rPr>
              <w:t>0.0023</w:t>
            </w:r>
          </w:p>
        </w:tc>
        <w:tc>
          <w:tcPr>
            <w:tcW w:w="1384" w:type="dxa"/>
            <w:tcMar>
              <w:top w:w="80" w:type="dxa"/>
              <w:left w:w="70" w:type="dxa"/>
              <w:bottom w:w="80" w:type="dxa"/>
              <w:right w:w="70" w:type="dxa"/>
            </w:tcMar>
            <w:vAlign w:val="center"/>
          </w:tcPr>
          <w:p w14:paraId="2E400A8A">
            <w:pPr>
              <w:jc w:val="center"/>
            </w:pPr>
            <w:r>
              <w:rPr>
                <w:rFonts w:ascii="Times New Roman" w:hAnsi="Times New Roman" w:eastAsia="Times New Roman"/>
                <w:b w:val="0"/>
                <w:sz w:val="16"/>
              </w:rPr>
              <w:t>3.7154</w:t>
            </w:r>
          </w:p>
        </w:tc>
        <w:tc>
          <w:tcPr>
            <w:tcW w:w="1384" w:type="dxa"/>
            <w:tcMar>
              <w:top w:w="80" w:type="dxa"/>
              <w:left w:w="70" w:type="dxa"/>
              <w:bottom w:w="80" w:type="dxa"/>
              <w:right w:w="70" w:type="dxa"/>
            </w:tcMar>
            <w:vAlign w:val="center"/>
          </w:tcPr>
          <w:p w14:paraId="236F275E">
            <w:pPr>
              <w:jc w:val="center"/>
            </w:pPr>
            <w:r>
              <w:rPr>
                <w:rFonts w:ascii="Times New Roman" w:hAnsi="Times New Roman" w:eastAsia="Times New Roman"/>
                <w:b w:val="0"/>
                <w:sz w:val="16"/>
              </w:rPr>
              <w:t>0.0002</w:t>
            </w:r>
          </w:p>
        </w:tc>
        <w:tc>
          <w:tcPr>
            <w:tcW w:w="1384" w:type="dxa"/>
            <w:tcMar>
              <w:top w:w="80" w:type="dxa"/>
              <w:left w:w="70" w:type="dxa"/>
              <w:bottom w:w="80" w:type="dxa"/>
              <w:right w:w="70" w:type="dxa"/>
            </w:tcMar>
            <w:vAlign w:val="center"/>
          </w:tcPr>
          <w:p w14:paraId="13BE58FE">
            <w:pPr>
              <w:jc w:val="center"/>
            </w:pPr>
            <w:r>
              <w:rPr>
                <w:rFonts w:ascii="Times New Roman" w:hAnsi="Times New Roman" w:eastAsia="Times New Roman"/>
                <w:b w:val="0"/>
                <w:sz w:val="16"/>
              </w:rPr>
              <w:t>[0.0040, 0.0130]</w:t>
            </w:r>
          </w:p>
        </w:tc>
      </w:tr>
      <w:tr w14:paraId="78DF1FA3">
        <w:trPr>
          <w:jc w:val="center"/>
        </w:trPr>
        <w:tc>
          <w:tcPr>
            <w:tcW w:w="1384" w:type="dxa"/>
            <w:tcMar>
              <w:top w:w="80" w:type="dxa"/>
              <w:left w:w="70" w:type="dxa"/>
              <w:bottom w:w="80" w:type="dxa"/>
              <w:right w:w="70" w:type="dxa"/>
            </w:tcMar>
            <w:vAlign w:val="center"/>
          </w:tcPr>
          <w:p w14:paraId="2747FE7A">
            <w:pPr>
              <w:jc w:val="left"/>
            </w:pPr>
            <w:r>
              <w:rPr>
                <w:rFonts w:ascii="Times New Roman" w:hAnsi="Times New Roman" w:eastAsia="Times New Roman"/>
                <w:b w:val="0"/>
                <w:sz w:val="16"/>
              </w:rPr>
              <w:t>log_mtna_lag</w:t>
            </w:r>
          </w:p>
        </w:tc>
        <w:tc>
          <w:tcPr>
            <w:tcW w:w="1384" w:type="dxa"/>
            <w:tcMar>
              <w:top w:w="80" w:type="dxa"/>
              <w:left w:w="70" w:type="dxa"/>
              <w:bottom w:w="80" w:type="dxa"/>
              <w:right w:w="70" w:type="dxa"/>
            </w:tcMar>
            <w:vAlign w:val="center"/>
          </w:tcPr>
          <w:p w14:paraId="1EFCD988">
            <w:pPr>
              <w:jc w:val="center"/>
            </w:pPr>
            <w:r>
              <w:rPr>
                <w:rFonts w:ascii="Times New Roman" w:hAnsi="Times New Roman" w:eastAsia="Times New Roman"/>
                <w:b w:val="0"/>
                <w:sz w:val="16"/>
              </w:rPr>
              <w:t>-0.0316***</w:t>
            </w:r>
          </w:p>
        </w:tc>
        <w:tc>
          <w:tcPr>
            <w:tcW w:w="1384" w:type="dxa"/>
            <w:tcMar>
              <w:top w:w="80" w:type="dxa"/>
              <w:left w:w="70" w:type="dxa"/>
              <w:bottom w:w="80" w:type="dxa"/>
              <w:right w:w="70" w:type="dxa"/>
            </w:tcMar>
            <w:vAlign w:val="center"/>
          </w:tcPr>
          <w:p w14:paraId="0DABF7F5">
            <w:pPr>
              <w:jc w:val="center"/>
            </w:pPr>
            <w:r>
              <w:rPr>
                <w:rFonts w:ascii="Times New Roman" w:hAnsi="Times New Roman" w:eastAsia="Times New Roman"/>
                <w:b w:val="0"/>
                <w:sz w:val="16"/>
              </w:rPr>
              <w:t>0.0025</w:t>
            </w:r>
          </w:p>
        </w:tc>
        <w:tc>
          <w:tcPr>
            <w:tcW w:w="1384" w:type="dxa"/>
            <w:tcMar>
              <w:top w:w="80" w:type="dxa"/>
              <w:left w:w="70" w:type="dxa"/>
              <w:bottom w:w="80" w:type="dxa"/>
              <w:right w:w="70" w:type="dxa"/>
            </w:tcMar>
            <w:vAlign w:val="center"/>
          </w:tcPr>
          <w:p w14:paraId="2DB99085">
            <w:pPr>
              <w:jc w:val="center"/>
            </w:pPr>
            <w:r>
              <w:rPr>
                <w:rFonts w:ascii="Times New Roman" w:hAnsi="Times New Roman" w:eastAsia="Times New Roman"/>
                <w:b w:val="0"/>
                <w:sz w:val="16"/>
              </w:rPr>
              <w:t>-12.506</w:t>
            </w:r>
          </w:p>
        </w:tc>
        <w:tc>
          <w:tcPr>
            <w:tcW w:w="1384" w:type="dxa"/>
            <w:tcMar>
              <w:top w:w="80" w:type="dxa"/>
              <w:left w:w="70" w:type="dxa"/>
              <w:bottom w:w="80" w:type="dxa"/>
              <w:right w:w="70" w:type="dxa"/>
            </w:tcMar>
            <w:vAlign w:val="center"/>
          </w:tcPr>
          <w:p w14:paraId="0876F6BA">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672ACD7D">
            <w:pPr>
              <w:jc w:val="center"/>
            </w:pPr>
            <w:r>
              <w:rPr>
                <w:rFonts w:ascii="Times New Roman" w:hAnsi="Times New Roman" w:eastAsia="Times New Roman"/>
                <w:b w:val="0"/>
                <w:sz w:val="16"/>
              </w:rPr>
              <w:t>[-0.0366, -0.0267]</w:t>
            </w:r>
          </w:p>
        </w:tc>
      </w:tr>
      <w:tr w14:paraId="0C9B4B77">
        <w:trPr>
          <w:jc w:val="center"/>
        </w:trPr>
        <w:tc>
          <w:tcPr>
            <w:tcW w:w="1384" w:type="dxa"/>
            <w:tcMar>
              <w:top w:w="80" w:type="dxa"/>
              <w:left w:w="70" w:type="dxa"/>
              <w:bottom w:w="80" w:type="dxa"/>
              <w:right w:w="70" w:type="dxa"/>
            </w:tcMar>
            <w:vAlign w:val="center"/>
          </w:tcPr>
          <w:p w14:paraId="785A9F16">
            <w:pPr>
              <w:jc w:val="left"/>
            </w:pPr>
            <w:r>
              <w:rPr>
                <w:rFonts w:ascii="Times New Roman" w:hAnsi="Times New Roman" w:eastAsia="Times New Roman"/>
                <w:b w:val="0"/>
                <w:sz w:val="16"/>
              </w:rPr>
              <w:t>mret_lag</w:t>
            </w:r>
          </w:p>
        </w:tc>
        <w:tc>
          <w:tcPr>
            <w:tcW w:w="1384" w:type="dxa"/>
            <w:tcMar>
              <w:top w:w="80" w:type="dxa"/>
              <w:left w:w="70" w:type="dxa"/>
              <w:bottom w:w="80" w:type="dxa"/>
              <w:right w:w="70" w:type="dxa"/>
            </w:tcMar>
            <w:vAlign w:val="center"/>
          </w:tcPr>
          <w:p w14:paraId="55E367D5">
            <w:pPr>
              <w:jc w:val="center"/>
            </w:pPr>
            <w:r>
              <w:rPr>
                <w:rFonts w:ascii="Times New Roman" w:hAnsi="Times New Roman" w:eastAsia="Times New Roman"/>
                <w:b w:val="0"/>
                <w:sz w:val="16"/>
              </w:rPr>
              <w:t>0.1355***</w:t>
            </w:r>
          </w:p>
        </w:tc>
        <w:tc>
          <w:tcPr>
            <w:tcW w:w="1384" w:type="dxa"/>
            <w:tcMar>
              <w:top w:w="80" w:type="dxa"/>
              <w:left w:w="70" w:type="dxa"/>
              <w:bottom w:w="80" w:type="dxa"/>
              <w:right w:w="70" w:type="dxa"/>
            </w:tcMar>
            <w:vAlign w:val="center"/>
          </w:tcPr>
          <w:p w14:paraId="0441590B">
            <w:pPr>
              <w:jc w:val="center"/>
            </w:pPr>
            <w:r>
              <w:rPr>
                <w:rFonts w:ascii="Times New Roman" w:hAnsi="Times New Roman" w:eastAsia="Times New Roman"/>
                <w:b w:val="0"/>
                <w:sz w:val="16"/>
              </w:rPr>
              <w:t>0.0213</w:t>
            </w:r>
          </w:p>
        </w:tc>
        <w:tc>
          <w:tcPr>
            <w:tcW w:w="1384" w:type="dxa"/>
            <w:tcMar>
              <w:top w:w="80" w:type="dxa"/>
              <w:left w:w="70" w:type="dxa"/>
              <w:bottom w:w="80" w:type="dxa"/>
              <w:right w:w="70" w:type="dxa"/>
            </w:tcMar>
            <w:vAlign w:val="center"/>
          </w:tcPr>
          <w:p w14:paraId="1E2A2CD9">
            <w:pPr>
              <w:jc w:val="center"/>
            </w:pPr>
            <w:r>
              <w:rPr>
                <w:rFonts w:ascii="Times New Roman" w:hAnsi="Times New Roman" w:eastAsia="Times New Roman"/>
                <w:b w:val="0"/>
                <w:sz w:val="16"/>
              </w:rPr>
              <w:t>6.3478</w:t>
            </w:r>
          </w:p>
        </w:tc>
        <w:tc>
          <w:tcPr>
            <w:tcW w:w="1384" w:type="dxa"/>
            <w:tcMar>
              <w:top w:w="80" w:type="dxa"/>
              <w:left w:w="70" w:type="dxa"/>
              <w:bottom w:w="80" w:type="dxa"/>
              <w:right w:w="70" w:type="dxa"/>
            </w:tcMar>
            <w:vAlign w:val="center"/>
          </w:tcPr>
          <w:p w14:paraId="7FAB4B82">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0086052C">
            <w:pPr>
              <w:jc w:val="center"/>
            </w:pPr>
            <w:r>
              <w:rPr>
                <w:rFonts w:ascii="Times New Roman" w:hAnsi="Times New Roman" w:eastAsia="Times New Roman"/>
                <w:b w:val="0"/>
                <w:sz w:val="16"/>
              </w:rPr>
              <w:t>[0.0936, 0.1773]</w:t>
            </w:r>
          </w:p>
        </w:tc>
      </w:tr>
      <w:tr w14:paraId="7833C4FE">
        <w:trPr>
          <w:jc w:val="center"/>
        </w:trPr>
        <w:tc>
          <w:tcPr>
            <w:tcW w:w="1384" w:type="dxa"/>
            <w:tcMar>
              <w:top w:w="80" w:type="dxa"/>
              <w:left w:w="70" w:type="dxa"/>
              <w:bottom w:w="80" w:type="dxa"/>
              <w:right w:w="70" w:type="dxa"/>
            </w:tcMar>
            <w:vAlign w:val="center"/>
          </w:tcPr>
          <w:p w14:paraId="501D244F">
            <w:pPr>
              <w:jc w:val="left"/>
            </w:pPr>
            <w:r>
              <w:rPr>
                <w:rFonts w:ascii="Times New Roman" w:hAnsi="Times New Roman" w:eastAsia="Times New Roman"/>
                <w:b w:val="0"/>
                <w:sz w:val="16"/>
              </w:rPr>
              <w:t>flow_lag</w:t>
            </w:r>
          </w:p>
        </w:tc>
        <w:tc>
          <w:tcPr>
            <w:tcW w:w="1384" w:type="dxa"/>
            <w:tcMar>
              <w:top w:w="80" w:type="dxa"/>
              <w:left w:w="70" w:type="dxa"/>
              <w:bottom w:w="80" w:type="dxa"/>
              <w:right w:w="70" w:type="dxa"/>
            </w:tcMar>
            <w:vAlign w:val="center"/>
          </w:tcPr>
          <w:p w14:paraId="6D25F6A5">
            <w:pPr>
              <w:jc w:val="center"/>
            </w:pPr>
            <w:r>
              <w:rPr>
                <w:rFonts w:ascii="Times New Roman" w:hAnsi="Times New Roman" w:eastAsia="Times New Roman"/>
                <w:b w:val="0"/>
                <w:sz w:val="16"/>
              </w:rPr>
              <w:t>-0.0923***</w:t>
            </w:r>
          </w:p>
        </w:tc>
        <w:tc>
          <w:tcPr>
            <w:tcW w:w="1384" w:type="dxa"/>
            <w:tcMar>
              <w:top w:w="80" w:type="dxa"/>
              <w:left w:w="70" w:type="dxa"/>
              <w:bottom w:w="80" w:type="dxa"/>
              <w:right w:w="70" w:type="dxa"/>
            </w:tcMar>
            <w:vAlign w:val="center"/>
          </w:tcPr>
          <w:p w14:paraId="6A8E2235">
            <w:pPr>
              <w:jc w:val="center"/>
            </w:pPr>
            <w:r>
              <w:rPr>
                <w:rFonts w:ascii="Times New Roman" w:hAnsi="Times New Roman" w:eastAsia="Times New Roman"/>
                <w:b w:val="0"/>
                <w:sz w:val="16"/>
              </w:rPr>
              <w:t>0.0132</w:t>
            </w:r>
          </w:p>
        </w:tc>
        <w:tc>
          <w:tcPr>
            <w:tcW w:w="1384" w:type="dxa"/>
            <w:tcMar>
              <w:top w:w="80" w:type="dxa"/>
              <w:left w:w="70" w:type="dxa"/>
              <w:bottom w:w="80" w:type="dxa"/>
              <w:right w:w="70" w:type="dxa"/>
            </w:tcMar>
            <w:vAlign w:val="center"/>
          </w:tcPr>
          <w:p w14:paraId="61A9F8F0">
            <w:pPr>
              <w:jc w:val="center"/>
            </w:pPr>
            <w:r>
              <w:rPr>
                <w:rFonts w:ascii="Times New Roman" w:hAnsi="Times New Roman" w:eastAsia="Times New Roman"/>
                <w:b w:val="0"/>
                <w:sz w:val="16"/>
              </w:rPr>
              <w:t>-6.9887</w:t>
            </w:r>
          </w:p>
        </w:tc>
        <w:tc>
          <w:tcPr>
            <w:tcW w:w="1384" w:type="dxa"/>
            <w:tcMar>
              <w:top w:w="80" w:type="dxa"/>
              <w:left w:w="70" w:type="dxa"/>
              <w:bottom w:w="80" w:type="dxa"/>
              <w:right w:w="70" w:type="dxa"/>
            </w:tcMar>
            <w:vAlign w:val="center"/>
          </w:tcPr>
          <w:p w14:paraId="5A1A85DB">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691CB462">
            <w:pPr>
              <w:jc w:val="center"/>
            </w:pPr>
            <w:r>
              <w:rPr>
                <w:rFonts w:ascii="Times New Roman" w:hAnsi="Times New Roman" w:eastAsia="Times New Roman"/>
                <w:b w:val="0"/>
                <w:sz w:val="16"/>
              </w:rPr>
              <w:t>[-0.1182, -0.0664]</w:t>
            </w:r>
          </w:p>
        </w:tc>
      </w:tr>
      <w:tr w14:paraId="13D42FEF">
        <w:trPr>
          <w:jc w:val="center"/>
        </w:trPr>
        <w:tc>
          <w:tcPr>
            <w:tcW w:w="1384" w:type="dxa"/>
            <w:tcMar>
              <w:top w:w="80" w:type="dxa"/>
              <w:left w:w="70" w:type="dxa"/>
              <w:bottom w:w="80" w:type="dxa"/>
              <w:right w:w="70" w:type="dxa"/>
            </w:tcMar>
            <w:vAlign w:val="center"/>
          </w:tcPr>
          <w:p w14:paraId="78719985">
            <w:pPr>
              <w:jc w:val="left"/>
            </w:pPr>
            <w:r>
              <w:rPr>
                <w:rFonts w:ascii="Times New Roman" w:hAnsi="Times New Roman" w:eastAsia="Times New Roman"/>
                <w:b/>
                <w:sz w:val="16"/>
              </w:rPr>
              <w:t>Observations</w:t>
            </w:r>
          </w:p>
        </w:tc>
        <w:tc>
          <w:tcPr>
            <w:tcW w:w="1384" w:type="dxa"/>
            <w:tcMar>
              <w:top w:w="80" w:type="dxa"/>
              <w:left w:w="70" w:type="dxa"/>
              <w:bottom w:w="80" w:type="dxa"/>
              <w:right w:w="70" w:type="dxa"/>
            </w:tcMar>
            <w:vAlign w:val="center"/>
          </w:tcPr>
          <w:p w14:paraId="14D762CE">
            <w:pPr>
              <w:jc w:val="center"/>
            </w:pPr>
            <w:r>
              <w:rPr>
                <w:rFonts w:ascii="Times New Roman" w:hAnsi="Times New Roman" w:eastAsia="Times New Roman"/>
                <w:b w:val="0"/>
                <w:sz w:val="16"/>
              </w:rPr>
              <w:t>81,262</w:t>
            </w:r>
          </w:p>
        </w:tc>
        <w:tc>
          <w:tcPr>
            <w:tcW w:w="1384" w:type="dxa"/>
            <w:tcMar>
              <w:top w:w="80" w:type="dxa"/>
              <w:left w:w="70" w:type="dxa"/>
              <w:bottom w:w="80" w:type="dxa"/>
              <w:right w:w="70" w:type="dxa"/>
            </w:tcMar>
            <w:vAlign w:val="center"/>
          </w:tcPr>
          <w:p w14:paraId="31464304">
            <w:pPr>
              <w:jc w:val="center"/>
            </w:pPr>
          </w:p>
        </w:tc>
        <w:tc>
          <w:tcPr>
            <w:tcW w:w="1384" w:type="dxa"/>
            <w:tcMar>
              <w:top w:w="80" w:type="dxa"/>
              <w:left w:w="70" w:type="dxa"/>
              <w:bottom w:w="80" w:type="dxa"/>
              <w:right w:w="70" w:type="dxa"/>
            </w:tcMar>
            <w:vAlign w:val="center"/>
          </w:tcPr>
          <w:p w14:paraId="7140BAE6">
            <w:pPr>
              <w:jc w:val="center"/>
            </w:pPr>
          </w:p>
        </w:tc>
        <w:tc>
          <w:tcPr>
            <w:tcW w:w="1384" w:type="dxa"/>
            <w:tcMar>
              <w:top w:w="80" w:type="dxa"/>
              <w:left w:w="70" w:type="dxa"/>
              <w:bottom w:w="80" w:type="dxa"/>
              <w:right w:w="70" w:type="dxa"/>
            </w:tcMar>
            <w:vAlign w:val="center"/>
          </w:tcPr>
          <w:p w14:paraId="57572E20">
            <w:pPr>
              <w:jc w:val="center"/>
            </w:pPr>
          </w:p>
        </w:tc>
        <w:tc>
          <w:tcPr>
            <w:tcW w:w="1384" w:type="dxa"/>
            <w:tcMar>
              <w:top w:w="80" w:type="dxa"/>
              <w:left w:w="70" w:type="dxa"/>
              <w:bottom w:w="80" w:type="dxa"/>
              <w:right w:w="70" w:type="dxa"/>
            </w:tcMar>
            <w:vAlign w:val="center"/>
          </w:tcPr>
          <w:p w14:paraId="101750A2">
            <w:pPr>
              <w:jc w:val="center"/>
            </w:pPr>
          </w:p>
        </w:tc>
      </w:tr>
      <w:tr w14:paraId="6A1F7CB9">
        <w:trPr>
          <w:jc w:val="center"/>
        </w:trPr>
        <w:tc>
          <w:tcPr>
            <w:tcW w:w="1384" w:type="dxa"/>
            <w:tcMar>
              <w:top w:w="80" w:type="dxa"/>
              <w:left w:w="70" w:type="dxa"/>
              <w:bottom w:w="80" w:type="dxa"/>
              <w:right w:w="70" w:type="dxa"/>
            </w:tcMar>
            <w:vAlign w:val="center"/>
          </w:tcPr>
          <w:p w14:paraId="63C80C2E">
            <w:pPr>
              <w:jc w:val="left"/>
            </w:pPr>
            <w:r>
              <w:rPr>
                <w:rFonts w:ascii="Times New Roman" w:hAnsi="Times New Roman" w:eastAsia="Times New Roman"/>
                <w:b/>
                <w:sz w:val="16"/>
              </w:rPr>
              <w:t>R-squared</w:t>
            </w:r>
          </w:p>
        </w:tc>
        <w:tc>
          <w:tcPr>
            <w:tcW w:w="1384" w:type="dxa"/>
            <w:tcMar>
              <w:top w:w="80" w:type="dxa"/>
              <w:left w:w="70" w:type="dxa"/>
              <w:bottom w:w="80" w:type="dxa"/>
              <w:right w:w="70" w:type="dxa"/>
            </w:tcMar>
            <w:vAlign w:val="center"/>
          </w:tcPr>
          <w:p w14:paraId="6A7B9629">
            <w:pPr>
              <w:jc w:val="center"/>
            </w:pPr>
            <w:r>
              <w:rPr>
                <w:rFonts w:ascii="Times New Roman" w:hAnsi="Times New Roman" w:eastAsia="Times New Roman"/>
                <w:b w:val="0"/>
                <w:sz w:val="16"/>
              </w:rPr>
              <w:t>0.0367</w:t>
            </w:r>
          </w:p>
        </w:tc>
        <w:tc>
          <w:tcPr>
            <w:tcW w:w="1384" w:type="dxa"/>
            <w:tcMar>
              <w:top w:w="80" w:type="dxa"/>
              <w:left w:w="70" w:type="dxa"/>
              <w:bottom w:w="80" w:type="dxa"/>
              <w:right w:w="70" w:type="dxa"/>
            </w:tcMar>
            <w:vAlign w:val="center"/>
          </w:tcPr>
          <w:p w14:paraId="5DE34DAE">
            <w:pPr>
              <w:jc w:val="center"/>
            </w:pPr>
          </w:p>
        </w:tc>
        <w:tc>
          <w:tcPr>
            <w:tcW w:w="1384" w:type="dxa"/>
            <w:tcMar>
              <w:top w:w="80" w:type="dxa"/>
              <w:left w:w="70" w:type="dxa"/>
              <w:bottom w:w="80" w:type="dxa"/>
              <w:right w:w="70" w:type="dxa"/>
            </w:tcMar>
            <w:vAlign w:val="center"/>
          </w:tcPr>
          <w:p w14:paraId="5CEBFE39">
            <w:pPr>
              <w:jc w:val="center"/>
            </w:pPr>
          </w:p>
        </w:tc>
        <w:tc>
          <w:tcPr>
            <w:tcW w:w="1384" w:type="dxa"/>
            <w:tcMar>
              <w:top w:w="80" w:type="dxa"/>
              <w:left w:w="70" w:type="dxa"/>
              <w:bottom w:w="80" w:type="dxa"/>
              <w:right w:w="70" w:type="dxa"/>
            </w:tcMar>
            <w:vAlign w:val="center"/>
          </w:tcPr>
          <w:p w14:paraId="64E1708D">
            <w:pPr>
              <w:jc w:val="center"/>
            </w:pPr>
          </w:p>
        </w:tc>
        <w:tc>
          <w:tcPr>
            <w:tcW w:w="1384" w:type="dxa"/>
            <w:tcMar>
              <w:top w:w="80" w:type="dxa"/>
              <w:left w:w="70" w:type="dxa"/>
              <w:bottom w:w="80" w:type="dxa"/>
              <w:right w:w="70" w:type="dxa"/>
            </w:tcMar>
            <w:vAlign w:val="center"/>
          </w:tcPr>
          <w:p w14:paraId="3C25836A">
            <w:pPr>
              <w:jc w:val="center"/>
            </w:pPr>
          </w:p>
        </w:tc>
      </w:tr>
    </w:tbl>
    <w:p w14:paraId="5F673845">
      <w:pPr>
        <w:spacing w:before="40" w:after="160"/>
      </w:pPr>
      <w:r>
        <w:rPr>
          <w:rFonts w:ascii="Times New Roman" w:hAnsi="Times New Roman" w:eastAsia="Times New Roman"/>
          <w:i/>
          <w:sz w:val="19"/>
        </w:rPr>
        <w:t>Notes: Values are transcribed from h1_controls_result.txt, h1_binary_median_result.txt, and h1_top_quartile_result.txt. Standard errors are clustered at the fund level. All specifications include entity and time fixed effects. ***, **, and * denote p &lt; 0.01, p &lt; 0.05, and p &lt; 0.10.</w:t>
      </w:r>
    </w:p>
    <w:p w14:paraId="2AE98FB5">
      <w:pPr>
        <w:spacing w:after="120" w:line="276" w:lineRule="auto"/>
      </w:pPr>
      <w:r>
        <w:rPr>
          <w:rFonts w:ascii="Times New Roman" w:hAnsi="Times New Roman" w:eastAsia="Times New Roman"/>
          <w:sz w:val="24"/>
        </w:rPr>
        <w:t xml:space="preserve">The results remain qualitatively unchanged across the available alternative treatment definitions. The continuous specification produces an </w:t>
      </w:r>
      <w:r>
        <w:rPr>
          <w:rFonts w:ascii="Times New Roman" w:hAnsi="Times New Roman" w:eastAsia="Times New Roman"/>
          <w:b/>
          <w:sz w:val="24"/>
        </w:rPr>
        <w:t>AI_post</w:t>
      </w:r>
      <w:r>
        <w:rPr>
          <w:rFonts w:ascii="Times New Roman" w:hAnsi="Times New Roman" w:eastAsia="Times New Roman"/>
          <w:sz w:val="24"/>
        </w:rPr>
        <w:t xml:space="preserve"> coefficient of 0.0057 with a </w:t>
      </w:r>
      <w:r>
        <w:rPr>
          <w:rFonts w:ascii="Times New Roman" w:hAnsi="Times New Roman" w:eastAsia="Times New Roman"/>
          <w:b/>
          <w:sz w:val="24"/>
        </w:rPr>
        <w:t>P-value</w:t>
      </w:r>
      <w:r>
        <w:rPr>
          <w:rFonts w:ascii="Times New Roman" w:hAnsi="Times New Roman" w:eastAsia="Times New Roman"/>
          <w:sz w:val="24"/>
        </w:rPr>
        <w:t xml:space="preserve"> below 0.0001. The median-split treatment produces a coefficient of 0.0076 with a </w:t>
      </w:r>
      <w:r>
        <w:rPr>
          <w:rFonts w:ascii="Times New Roman" w:hAnsi="Times New Roman" w:eastAsia="Times New Roman"/>
          <w:b/>
          <w:sz w:val="24"/>
        </w:rPr>
        <w:t>P-value</w:t>
      </w:r>
      <w:r>
        <w:rPr>
          <w:rFonts w:ascii="Times New Roman" w:hAnsi="Times New Roman" w:eastAsia="Times New Roman"/>
          <w:sz w:val="24"/>
        </w:rPr>
        <w:t xml:space="preserve"> of 0.0003, while the top-quartile treatment produces a coefficient of 0.0085 with a </w:t>
      </w:r>
      <w:r>
        <w:rPr>
          <w:rFonts w:ascii="Times New Roman" w:hAnsi="Times New Roman" w:eastAsia="Times New Roman"/>
          <w:b/>
          <w:sz w:val="24"/>
        </w:rPr>
        <w:t>P-value</w:t>
      </w:r>
      <w:r>
        <w:rPr>
          <w:rFonts w:ascii="Times New Roman" w:hAnsi="Times New Roman" w:eastAsia="Times New Roman"/>
          <w:sz w:val="24"/>
        </w:rPr>
        <w:t xml:space="preserve"> of 0.0002. These results indicate that the baseline conclusion is not driven by a single treatment construction.</w:t>
      </w:r>
    </w:p>
    <w:p w14:paraId="0E9E71C2">
      <w:pPr>
        <w:spacing w:after="120" w:line="276" w:lineRule="auto"/>
        <w:rPr>
          <w:rFonts w:ascii="Times New Roman" w:hAnsi="Times New Roman" w:eastAsia="Times New Roman"/>
          <w:sz w:val="24"/>
        </w:rPr>
      </w:pPr>
      <w:r>
        <w:rPr>
          <w:rFonts w:ascii="Times New Roman" w:hAnsi="Times New Roman" w:eastAsia="Times New Roman"/>
          <w:sz w:val="24"/>
        </w:rPr>
        <w:t>Placebo timing tests and placebo coefficient distributions are not reported because no placebo test is included in the original empirical notebooks. Within the set of robustness checks that are directly available from the saved outputs, the evidence supports the conclusion that funds with greater pre-shock AI exposure experienced stronger post-ChatGPT inflows.</w:t>
      </w:r>
    </w:p>
    <w:p w14:paraId="683E16D5">
      <w:pPr>
        <w:spacing w:after="120" w:line="276" w:lineRule="auto"/>
        <w:rPr>
          <w:rFonts w:ascii="Times New Roman" w:hAnsi="Times New Roman" w:eastAsia="Times New Roman"/>
          <w:sz w:val="24"/>
        </w:rPr>
      </w:pPr>
    </w:p>
    <w:p w14:paraId="703D21CA">
      <w:pPr>
        <w:spacing w:after="120" w:line="276" w:lineRule="auto"/>
        <w:rPr>
          <w:rFonts w:ascii="Times New Roman" w:hAnsi="Times New Roman" w:eastAsia="Times New Roman"/>
          <w:sz w:val="24"/>
        </w:rPr>
      </w:pPr>
      <w:bookmarkStart w:id="0" w:name="_GoBack"/>
      <w:bookmarkEnd w:id="0"/>
    </w:p>
    <w:p w14:paraId="3FE738F1">
      <w:pPr>
        <w:spacing w:after="120" w:line="276" w:lineRule="auto"/>
        <w:rPr>
          <w:rFonts w:ascii="Times New Roman" w:hAnsi="Times New Roman" w:eastAsia="Times New Roman"/>
          <w:sz w:val="24"/>
        </w:rPr>
      </w:pPr>
    </w:p>
    <w:p>
      <w:r>
        <w:br w:type="page"/>
      </w:r>
    </w:p>
    <w:p>
      <w:pPr>
        <w:spacing w:before="200" w:after="120"/>
      </w:pPr>
      <w:r>
        <w:rPr>
          <w:rFonts w:ascii="Times New Roman" w:hAnsi="Times New Roman" w:eastAsia="Times New Roman"/>
          <w:b/>
          <w:sz w:val="32"/>
        </w:rPr>
        <w:t>Chapter 5 Discussion</w:t>
      </w:r>
    </w:p>
    <w:p>
      <w:pPr>
        <w:spacing w:before="160" w:after="120"/>
      </w:pPr>
      <w:r>
        <w:rPr>
          <w:rFonts w:ascii="Times New Roman" w:hAnsi="Times New Roman" w:eastAsia="Times New Roman"/>
          <w:b/>
          <w:sz w:val="28"/>
        </w:rPr>
        <w:t>5.1 AI Shock and Investor Attention</w:t>
      </w:r>
    </w:p>
    <w:p>
      <w:pPr>
        <w:spacing w:after="120" w:line="276" w:lineRule="auto"/>
      </w:pPr>
      <w:r>
        <w:rPr>
          <w:rFonts w:ascii="Times New Roman" w:hAnsi="Times New Roman" w:eastAsia="Times New Roman"/>
          <w:b w:val="0"/>
          <w:sz w:val="24"/>
        </w:rPr>
        <w:t>The empirical results indicate that the release of ChatGPT was associated with economically meaningful reallocations of mutual fund capital toward funds with greater pre-shock AI exposure. This pattern is consistent with investor attention theories, which argue that highly salient public events can alter the set of assets and investment vehicles considered by investors. ChatGPT was not merely a technical product release. It was a highly visible technological shock that transformed artificial intelligence from a specialized sector narrative into a broad market theme. In this setting, funds with stronger AI exposure became natural vehicles through which investors could express demand for participation in the perceived AI opportunity.</w:t>
      </w:r>
    </w:p>
    <w:p>
      <w:pPr>
        <w:spacing w:after="120" w:line="276" w:lineRule="auto"/>
      </w:pPr>
      <w:r>
        <w:rPr>
          <w:rFonts w:ascii="Times New Roman" w:hAnsi="Times New Roman" w:eastAsia="Times New Roman"/>
          <w:b w:val="0"/>
          <w:sz w:val="24"/>
        </w:rPr>
        <w:t>The baseline finding supports the interpretation that investor attention operates through thematic capital allocation. Once generative AI became a prominent public narrative, investors appear to have reallocated capital toward mutual funds already positioned in AI-related firms. The effect is economically meaningful because monthly mutual fund flows are usually small and persistent, while the estimated post-shock flow response is large relative to the unconditional distribution of fund flows. This suggests that the ChatGPT shock affected not only individual stock valuations but also the allocation of capital across delegated investment vehicles.</w:t>
      </w:r>
    </w:p>
    <w:p>
      <w:pPr>
        <w:spacing w:after="120" w:line="276" w:lineRule="auto"/>
      </w:pPr>
      <w:r>
        <w:rPr>
          <w:rFonts w:ascii="Times New Roman" w:hAnsi="Times New Roman" w:eastAsia="Times New Roman"/>
          <w:b w:val="0"/>
          <w:sz w:val="24"/>
        </w:rPr>
        <w:t>This evidence also highlights the role of public narratives in shaping institutional flows. Although mutual fund investors do not directly choose every underlying portfolio holding, they respond to fund characteristics that map onto salient investment themes. AI exposure became a visible attribute through which investors could identify funds likely to benefit from technological optimism. The results are therefore consistent with attention-induced demand for AI exposure and with the broader literature showing that investor attention can affect capital flows, asset demand, and portfolio allocation.</w:t>
      </w:r>
    </w:p>
    <w:p>
      <w:pPr>
        <w:spacing w:before="160" w:after="120"/>
      </w:pPr>
      <w:r>
        <w:rPr>
          <w:rFonts w:ascii="Times New Roman" w:hAnsi="Times New Roman" w:eastAsia="Times New Roman"/>
          <w:b/>
          <w:sz w:val="28"/>
        </w:rPr>
        <w:t>5.2 Performance Credibility and Investor Trust</w:t>
      </w:r>
    </w:p>
    <w:p>
      <w:pPr>
        <w:spacing w:after="120" w:line="276" w:lineRule="auto"/>
      </w:pPr>
      <w:r>
        <w:rPr>
          <w:rFonts w:ascii="Times New Roman" w:hAnsi="Times New Roman" w:eastAsia="Times New Roman"/>
          <w:b w:val="0"/>
          <w:sz w:val="24"/>
        </w:rPr>
        <w:t>The heterogeneity analysis provides further insight into how investors process AI-related information. The positive triple interaction between AI exposure, the post-ChatGPT period, and the high-alpha fund indicator suggests that investors did not respond mechanically to AI exposure alone. Instead, the flow response was stronger when AI exposure was combined with prior evidence of managerial ability. This pattern is consistent with performance-chasing behavior in the mutual fund literature, but it adds an important qualification: investors appear to chase thematic exposure more aggressively when the manager has already established credibility.</w:t>
      </w:r>
    </w:p>
    <w:p>
      <w:pPr>
        <w:spacing w:after="120" w:line="276" w:lineRule="auto"/>
      </w:pPr>
      <w:r>
        <w:rPr>
          <w:rFonts w:ascii="Times New Roman" w:hAnsi="Times New Roman" w:eastAsia="Times New Roman"/>
          <w:b w:val="0"/>
          <w:sz w:val="24"/>
        </w:rPr>
        <w:t>Prior alpha can be interpreted as a signal of investment ability, particularly in an environment characterized by technological uncertainty. Generative AI created substantial optimism, but it also increased uncertainty about which firms, business models, and managers would be able to convert AI adoption into durable returns. Under these conditions, investors may use past risk-adjusted performance as a proxy for managerial skill. Funds with high AI exposure and stronger historical alpha are therefore more likely to be perceived as credible vehicles for gaining AI exposure.</w:t>
      </w:r>
    </w:p>
    <w:p>
      <w:pPr>
        <w:spacing w:after="120" w:line="276" w:lineRule="auto"/>
      </w:pPr>
      <w:r>
        <w:rPr>
          <w:rFonts w:ascii="Times New Roman" w:hAnsi="Times New Roman" w:eastAsia="Times New Roman"/>
          <w:b w:val="0"/>
          <w:sz w:val="24"/>
        </w:rPr>
        <w:t>This interpretation suggests that investors are not blindly chasing AI narratives. Rather, they appear to combine technological optimism with an assessment of managerial credibility. AI narratives alone may attract attention, but the stronger inflows to high-alpha AI-exposed funds indicate that investors differentiate between managers when allocating capital under uncertainty. The result is consistent with the view that investor confidence depends not only on exposure to a popular theme, but also on the perceived ability of fund managers to implement that theme effectively.</w:t>
      </w:r>
    </w:p>
    <w:p>
      <w:pPr>
        <w:spacing w:before="160" w:after="120"/>
      </w:pPr>
      <w:r>
        <w:rPr>
          <w:rFonts w:ascii="Times New Roman" w:hAnsi="Times New Roman" w:eastAsia="Times New Roman"/>
          <w:b/>
          <w:sz w:val="28"/>
        </w:rPr>
        <w:t>5.3 Strategic Adaptation on the Intensive Margin</w:t>
      </w:r>
    </w:p>
    <w:p>
      <w:pPr>
        <w:spacing w:after="120" w:line="276" w:lineRule="auto"/>
      </w:pPr>
      <w:r>
        <w:rPr>
          <w:rFonts w:ascii="Times New Roman" w:hAnsi="Times New Roman" w:eastAsia="Times New Roman"/>
          <w:b w:val="0"/>
          <w:sz w:val="24"/>
        </w:rPr>
        <w:t>The portfolio allocation results offer a more nuanced picture of how mutual funds responded to the ChatGPT shock. The H3 evidence is mixed in a meaningful way: AIShare increases significantly after the shock for funds with higher pre-shock AI exposure, while new_ai_positions declines. This pattern does not support the interpretation that funds broadly expanded into many new AI-related stocks. Instead, it suggests strategic adaptation on the intensive margin, with funds concentrating additional capital within AI-related positions rather than diversifying across a wider set of unfamiliar AI firms.</w:t>
      </w:r>
    </w:p>
    <w:p>
      <w:pPr>
        <w:spacing w:after="120" w:line="276" w:lineRule="auto"/>
      </w:pPr>
      <w:r>
        <w:rPr>
          <w:rFonts w:ascii="Times New Roman" w:hAnsi="Times New Roman" w:eastAsia="Times New Roman"/>
          <w:b w:val="0"/>
          <w:sz w:val="24"/>
        </w:rPr>
        <w:t>This distinction between the intensive and extensive margins is central to interpreting the results. An extensive-margin response would imply that funds responded to the AI shock by initiating many new AI positions, potentially reflecting broad exploratory diversification. The negative coefficient on new_ai_positions points in the opposite direction. By contrast, the positive and highly significant AIShare result indicates that funds increased the overall portfolio weight allocated to AI-related firms. The evidence therefore points to portfolio reinforcement rather than broad experimentation.</w:t>
      </w:r>
    </w:p>
    <w:p>
      <w:pPr>
        <w:spacing w:after="120" w:line="276" w:lineRule="auto"/>
      </w:pPr>
      <w:r>
        <w:rPr>
          <w:rFonts w:ascii="Times New Roman" w:hAnsi="Times New Roman" w:eastAsia="Times New Roman"/>
          <w:b w:val="0"/>
          <w:sz w:val="24"/>
        </w:rPr>
        <w:t>Such behavior is plausible for institutional investors facing technological uncertainty. Fund managers may prefer to scale positions in firms they already understand, particularly when those firms are large, liquid, and central to the AI supply chain. Existing AI holdings may reflect prior research capacity, informational familiarity, and stronger conviction about firm fundamentals. In this setting, increasing the weight of existing AI-related positions can be viewed as a conviction-driven allocation response rather than a passive reaction to market narratives.</w:t>
      </w:r>
    </w:p>
    <w:p>
      <w:pPr>
        <w:spacing w:after="120" w:line="276" w:lineRule="auto"/>
      </w:pPr>
      <w:r>
        <w:rPr>
          <w:rFonts w:ascii="Times New Roman" w:hAnsi="Times New Roman" w:eastAsia="Times New Roman"/>
          <w:b w:val="0"/>
          <w:sz w:val="24"/>
        </w:rPr>
        <w:t>The result also suggests that AI-exposed funds used the ChatGPT shock as an opportunity for selective technological exposure. Rather than treating the shock as a reason to purchase a broad basket of AI names, managers appear to have reinforced positions where they already had informational familiarity or strategic conviction. This is consistent with institutional portfolio concentration, where managers respond to new information by increasing exposure to high-conviction themes while avoiding excessive dispersion across less familiar firms. The H3 results therefore support a realistic interpretation of institutional adaptation: funds adjusted meaningfully, but in a targeted and concentrated manner.</w:t>
      </w:r>
    </w:p>
    <w:p>
      <w:pPr>
        <w:spacing w:before="160" w:after="120"/>
      </w:pPr>
      <w:r>
        <w:rPr>
          <w:rFonts w:ascii="Times New Roman" w:hAnsi="Times New Roman" w:eastAsia="Times New Roman"/>
          <w:b/>
          <w:sz w:val="28"/>
        </w:rPr>
        <w:t>5.4 Theoretical and Practical Implications</w:t>
      </w:r>
    </w:p>
    <w:p>
      <w:pPr>
        <w:spacing w:before="160" w:after="120"/>
      </w:pPr>
      <w:r>
        <w:rPr>
          <w:rFonts w:ascii="Times New Roman" w:hAnsi="Times New Roman" w:eastAsia="Times New Roman"/>
          <w:b/>
          <w:sz w:val="24"/>
        </w:rPr>
        <w:t>5.4.1 Theoretical Implications</w:t>
      </w:r>
    </w:p>
    <w:p>
      <w:pPr>
        <w:spacing w:after="120" w:line="276" w:lineRule="auto"/>
      </w:pPr>
      <w:r>
        <w:rPr>
          <w:rFonts w:ascii="Times New Roman" w:hAnsi="Times New Roman" w:eastAsia="Times New Roman"/>
          <w:b w:val="0"/>
          <w:sz w:val="24"/>
        </w:rPr>
        <w:t>This study contributes to several strands of finance literature. First, it extends investor attention research by showing that attention shocks can operate through delegated investment vehicles, not only through direct trading in individual stocks. The ChatGPT release increased the salience of AI as an investment theme, and the evidence suggests that this attention was transmitted into mutual fund flows. This broadens the scope of investor attention theories by linking public technological narratives to capital allocation across funds.</w:t>
      </w:r>
    </w:p>
    <w:p>
      <w:pPr>
        <w:spacing w:after="120" w:line="276" w:lineRule="auto"/>
      </w:pPr>
      <w:r>
        <w:rPr>
          <w:rFonts w:ascii="Times New Roman" w:hAnsi="Times New Roman" w:eastAsia="Times New Roman"/>
          <w:b w:val="0"/>
          <w:sz w:val="24"/>
        </w:rPr>
        <w:t>Second, the findings contribute to the mutual fund flow literature by showing that flows respond not only to past performance, fees, and fund characteristics, but also to thematic exposure. The heterogeneity results further show that thematic demand is stronger when combined with managerial credibility. This suggests that investors evaluate mutual funds through a joint lens: they respond to salient investment themes, but condition that response on signals of managerial ability.</w:t>
      </w:r>
    </w:p>
    <w:p>
      <w:pPr>
        <w:spacing w:after="120" w:line="276" w:lineRule="auto"/>
      </w:pPr>
      <w:r>
        <w:rPr>
          <w:rFonts w:ascii="Times New Roman" w:hAnsi="Times New Roman" w:eastAsia="Times New Roman"/>
          <w:b w:val="0"/>
          <w:sz w:val="24"/>
        </w:rPr>
        <w:t>Third, the study contributes to research on technological shocks and institutional adaptation. Much of the emerging AI finance literature focuses on firm-level stock returns or market valuations. This thesis shifts attention toward the institutional capital allocation mechanism through which technological optimism is transmitted into fund flows and portfolio choices. The portfolio results also show that institutional adaptation may occur through concentration and reinforcement rather than through broad diversification into new technology-related securities.</w:t>
      </w:r>
    </w:p>
    <w:p>
      <w:pPr>
        <w:spacing w:before="160" w:after="120"/>
      </w:pPr>
      <w:r>
        <w:rPr>
          <w:rFonts w:ascii="Times New Roman" w:hAnsi="Times New Roman" w:eastAsia="Times New Roman"/>
          <w:b/>
          <w:sz w:val="24"/>
        </w:rPr>
        <w:t>5.4.2 Practical Implications</w:t>
      </w:r>
    </w:p>
    <w:p>
      <w:pPr>
        <w:spacing w:after="120" w:line="276" w:lineRule="auto"/>
      </w:pPr>
      <w:r>
        <w:rPr>
          <w:rFonts w:ascii="Times New Roman" w:hAnsi="Times New Roman" w:eastAsia="Times New Roman"/>
          <w:b w:val="0"/>
          <w:sz w:val="24"/>
        </w:rPr>
        <w:t>For mutual fund managers, the results imply that thematic exposure can attract investor capital when a technology becomes highly salient. However, the stronger response among high-alpha funds suggests that exposure alone is unlikely to be sufficient. Investors appear to reward AI exposure more strongly when it is paired with a credible record of investment ability. Managers seeking to position portfolios around emerging technologies therefore face a dual challenge: communicating thematic exposure while maintaining evidence of disciplined performance.</w:t>
      </w:r>
    </w:p>
    <w:p>
      <w:pPr>
        <w:spacing w:after="120" w:line="276" w:lineRule="auto"/>
      </w:pPr>
      <w:r>
        <w:rPr>
          <w:rFonts w:ascii="Times New Roman" w:hAnsi="Times New Roman" w:eastAsia="Times New Roman"/>
          <w:b w:val="0"/>
          <w:sz w:val="24"/>
        </w:rPr>
        <w:t>For institutional investors, the findings highlight the importance of distinguishing between thematic demand and fundamental investment capacity. AI-related funds may attract flows during periods of technological optimism, but such flows can also increase concentration risk if managers reinforce existing positions. The H3 evidence suggests that portfolio adaptation occurred primarily through increased AIShare rather than through many new positions. This pattern may be efficient when managers have strong conviction, but it can also expose investors to greater sector and firm-specific risk.</w:t>
      </w:r>
    </w:p>
    <w:p>
      <w:pPr>
        <w:spacing w:after="120" w:line="276" w:lineRule="auto"/>
      </w:pPr>
      <w:r>
        <w:rPr>
          <w:rFonts w:ascii="Times New Roman" w:hAnsi="Times New Roman" w:eastAsia="Times New Roman"/>
          <w:b w:val="0"/>
          <w:sz w:val="24"/>
        </w:rPr>
        <w:t>For regulators and market observers, the results suggest that technology-driven capital cycles can influence delegated investment markets. Public narratives around emerging technologies may redirect capital toward certain funds and sectors, potentially amplifying valuation pressures and concentration in popular themes. The findings do not imply that such reallocations are irrational, but they do indicate that investor sentiment and technological optimism can shape institutional capital flows in economically meaningful ways.</w:t>
      </w:r>
    </w:p>
    <w:p>
      <w:pPr>
        <w:spacing w:before="160" w:after="120"/>
      </w:pPr>
      <w:r>
        <w:rPr>
          <w:rFonts w:ascii="Times New Roman" w:hAnsi="Times New Roman" w:eastAsia="Times New Roman"/>
          <w:b/>
          <w:sz w:val="28"/>
        </w:rPr>
        <w:t>5.5 Limitations and Future Research</w:t>
      </w:r>
    </w:p>
    <w:p>
      <w:pPr>
        <w:spacing w:after="120" w:line="276" w:lineRule="auto"/>
      </w:pPr>
      <w:r>
        <w:rPr>
          <w:rFonts w:ascii="Times New Roman" w:hAnsi="Times New Roman" w:eastAsia="Times New Roman"/>
          <w:b w:val="0"/>
          <w:sz w:val="24"/>
        </w:rPr>
        <w:t>Several limitations should be acknowledged. First, the AI exposure measure is based on a ticker-based classification of AI-related firms. Although this approach is transparent and suitable for empirical implementation, it may not fully capture the intensity of each firm's AI involvement or the evolving nature of AI-related business models. Some firms may become more or less AI-relevant over time, and ticker-based classifications may miss smaller or less visible firms with meaningful AI exposure.</w:t>
      </w:r>
    </w:p>
    <w:p>
      <w:pPr>
        <w:spacing w:after="120" w:line="276" w:lineRule="auto"/>
      </w:pPr>
      <w:r>
        <w:rPr>
          <w:rFonts w:ascii="Times New Roman" w:hAnsi="Times New Roman" w:eastAsia="Times New Roman"/>
          <w:b w:val="0"/>
          <w:sz w:val="24"/>
        </w:rPr>
        <w:t>Second, the ChatGPT shock occurred during a period that also included broader technology-sector movements, changing monetary conditions, and macroeconomic uncertainty. Fund and time fixed effects reduce concerns about time-invariant fund heterogeneity and common shocks, but they cannot eliminate all possible omitted factors. The event-study evidence is generally supportive, but the presence of one significant pre-treatment coefficient means that the parallel-trend assumption should be interpreted cautiously rather than treated as perfectly satisfied.</w:t>
      </w:r>
    </w:p>
    <w:p>
      <w:pPr>
        <w:spacing w:after="120" w:line="276" w:lineRule="auto"/>
      </w:pPr>
      <w:r>
        <w:rPr>
          <w:rFonts w:ascii="Times New Roman" w:hAnsi="Times New Roman" w:eastAsia="Times New Roman"/>
          <w:b w:val="0"/>
          <w:sz w:val="24"/>
        </w:rPr>
        <w:t>Third, holdings data impose practical constraints. Portfolio weights can be affected by reporting conventions, derivatives, leverage, and timing differences between reported holdings and actual trading behavior. The H3 results should therefore be interpreted as evidence of reported portfolio allocation changes rather than as a complete reconstruction of all trading decisions. In addition, the post-ChatGPT period remains relatively short, limiting the ability to evaluate whether AI-related flows and portfolio adjustments persist over longer horizons.</w:t>
      </w:r>
    </w:p>
    <w:p>
      <w:pPr>
        <w:spacing w:after="120" w:line="276" w:lineRule="auto"/>
      </w:pPr>
      <w:r>
        <w:rPr>
          <w:rFonts w:ascii="Times New Roman" w:hAnsi="Times New Roman" w:eastAsia="Times New Roman"/>
          <w:b w:val="0"/>
          <w:sz w:val="24"/>
        </w:rPr>
        <w:t>Future research could extend the analysis in several directions. One natural extension is to examine exchange-traded funds, where thematic investing is often more explicit and retail attention may be stronger. Another direction is to study international markets to assess whether AI-related capital reallocation differs across institutional settings. Future work could also incorporate direct measures of AI sentiment, search intensity, or media coverage to more precisely identify the attention channel. Finally, as more post-ChatGPT data become available, researchers can examine whether the observed capital reallocation reflects a temporary attention cycle or a more persistent shift in institutional portfolio allocation.</w:t>
      </w:r>
    </w:p>
    <w:p>
      <w:r>
        <w:br w:type="page"/>
      </w:r>
    </w:p>
    <w:p>
      <w:pPr>
        <w:spacing w:before="200" w:after="120"/>
      </w:pPr>
      <w:r>
        <w:rPr>
          <w:rFonts w:ascii="Times New Roman" w:hAnsi="Times New Roman" w:eastAsia="Times New Roman"/>
          <w:b/>
          <w:sz w:val="32"/>
        </w:rPr>
        <w:t>Chapter 6 Conclusion</w:t>
      </w:r>
    </w:p>
    <w:p>
      <w:pPr>
        <w:spacing w:before="160" w:after="120"/>
      </w:pPr>
      <w:r>
        <w:rPr>
          <w:rFonts w:ascii="Times New Roman" w:hAnsi="Times New Roman" w:eastAsia="Times New Roman"/>
          <w:b/>
          <w:sz w:val="28"/>
        </w:rPr>
        <w:t>6.1 Summary of Findings</w:t>
      </w:r>
    </w:p>
    <w:p>
      <w:pPr>
        <w:spacing w:after="120" w:line="276" w:lineRule="auto"/>
      </w:pPr>
      <w:r>
        <w:rPr>
          <w:rFonts w:ascii="Times New Roman" w:hAnsi="Times New Roman" w:eastAsia="Times New Roman"/>
          <w:b w:val="0"/>
          <w:sz w:val="24"/>
        </w:rPr>
        <w:t>This thesis examines whether the release of ChatGPT affected mutual fund capital flows and portfolio allocation through an investor attention channel. Using pre-shock AI exposure as treatment intensity, the analysis shows that funds with greater AI exposure experienced stronger post-ChatGPT inflows. This finding is consistent with technology-driven capital allocation, in which a highly visible innovation shock increases investor demand for funds positioned around the emerging theme.</w:t>
      </w:r>
    </w:p>
    <w:p>
      <w:pPr>
        <w:spacing w:after="120" w:line="276" w:lineRule="auto"/>
      </w:pPr>
      <w:r>
        <w:rPr>
          <w:rFonts w:ascii="Times New Roman" w:hAnsi="Times New Roman" w:eastAsia="Times New Roman"/>
          <w:b w:val="0"/>
          <w:sz w:val="24"/>
        </w:rPr>
        <w:t>The evidence also shows that investor responses were stronger for funds with better prior risk-adjusted performance. The positive interaction between AI exposure, the post-shock period, and the high-alpha fund indicator suggests that investors combine technological optimism with managerial credibility. Rather than allocating capital indiscriminately to all AI-exposed funds, investors appear to place greater trust in managers with stronger historical performance.</w:t>
      </w:r>
    </w:p>
    <w:p>
      <w:pPr>
        <w:spacing w:after="120" w:line="276" w:lineRule="auto"/>
      </w:pPr>
      <w:r>
        <w:rPr>
          <w:rFonts w:ascii="Times New Roman" w:hAnsi="Times New Roman" w:eastAsia="Times New Roman"/>
          <w:b w:val="0"/>
          <w:sz w:val="24"/>
        </w:rPr>
        <w:t>The portfolio results show that fund managers also adapted strategically. Higher AI exposure is associated with a significant increase in AIShare after ChatGPT, but the number of newly initiated AI positions declines. This pattern indicates that portfolio adjustment occurred primarily on the intensive margin. Funds did not broadly diversify into many new AI stocks; instead, they concentrated capital within AI-related positions, consistent with conviction-based institutional response under technological uncertainty.</w:t>
      </w:r>
    </w:p>
    <w:p>
      <w:pPr>
        <w:spacing w:before="160" w:after="120"/>
      </w:pPr>
      <w:r>
        <w:rPr>
          <w:rFonts w:ascii="Times New Roman" w:hAnsi="Times New Roman" w:eastAsia="Times New Roman"/>
          <w:b/>
          <w:sz w:val="28"/>
        </w:rPr>
        <w:t>6.2 Main Contributions</w:t>
      </w:r>
    </w:p>
    <w:p>
      <w:pPr>
        <w:spacing w:after="120" w:line="276" w:lineRule="auto"/>
      </w:pPr>
      <w:r>
        <w:rPr>
          <w:rFonts w:ascii="Times New Roman" w:hAnsi="Times New Roman" w:eastAsia="Times New Roman"/>
          <w:b w:val="0"/>
          <w:sz w:val="24"/>
        </w:rPr>
        <w:t>The study makes three main contributions. First, it contributes to the growing literature on AI and finance by shifting attention from stock-level reactions to institutional capital allocation mechanisms. The findings show that generative AI shocks can influence not only the valuation of AI-related firms but also the flow of capital across mutual funds and the composition of fund portfolios.</w:t>
      </w:r>
    </w:p>
    <w:p>
      <w:pPr>
        <w:spacing w:after="120" w:line="276" w:lineRule="auto"/>
      </w:pPr>
      <w:r>
        <w:rPr>
          <w:rFonts w:ascii="Times New Roman" w:hAnsi="Times New Roman" w:eastAsia="Times New Roman"/>
          <w:b w:val="0"/>
          <w:sz w:val="24"/>
        </w:rPr>
        <w:t>Second, the thesis contributes to the mutual fund flow literature by documenting that thematic exposure can shape investor flows when a technology becomes highly salient. The results suggest that mutual fund investors respond to AI exposure as an investment characteristic, particularly when it is paired with credible prior performance. This extends traditional flow-performance analysis by incorporating technological narratives and investor attention as drivers of delegated capital allocation.</w:t>
      </w:r>
    </w:p>
    <w:p>
      <w:pPr>
        <w:spacing w:after="120" w:line="276" w:lineRule="auto"/>
      </w:pPr>
      <w:r>
        <w:rPr>
          <w:rFonts w:ascii="Times New Roman" w:hAnsi="Times New Roman" w:eastAsia="Times New Roman"/>
          <w:b w:val="0"/>
          <w:sz w:val="24"/>
        </w:rPr>
        <w:t>Third, the study contributes to research on institutional behavior under technological uncertainty. The portfolio evidence shows that mutual funds respond to AI optimism through strategic adaptation rather than broad exploratory diversification. The distinction between increasing AIShare and reducing new_ai_positions highlights the importance of separating intensive-margin portfolio reinforcement from extensive-margin expansion. This distinction provides a more precise understanding of how institutional investors translate technological narratives into portfolio choices.</w:t>
      </w:r>
    </w:p>
    <w:p>
      <w:pPr>
        <w:spacing w:before="160" w:after="120"/>
      </w:pPr>
      <w:r>
        <w:rPr>
          <w:rFonts w:ascii="Times New Roman" w:hAnsi="Times New Roman" w:eastAsia="Times New Roman"/>
          <w:b/>
          <w:sz w:val="28"/>
        </w:rPr>
        <w:t>6.3 Final Remarks</w:t>
      </w:r>
    </w:p>
    <w:p>
      <w:pPr>
        <w:spacing w:after="120" w:line="276" w:lineRule="auto"/>
      </w:pPr>
      <w:r>
        <w:rPr>
          <w:rFonts w:ascii="Times New Roman" w:hAnsi="Times New Roman" w:eastAsia="Times New Roman"/>
          <w:b w:val="0"/>
          <w:i w:val="0"/>
          <w:sz w:val="24"/>
        </w:rPr>
        <w:t>This study provides suggestive evidence that generative AI narratives can shape financial markets through institutional capital allocation. The ChatGPT shock is associated with stronger flows to AI-exposed mutual funds, a larger response among funds with stronger prior performance, and portfolio adjustment through increased AI concentration. These patterns suggest that institutional investors help transmit technological optimism into real investment behavior, while still filtering that optimism through managerial credibility and portfolio constraints.</w:t>
      </w:r>
    </w:p>
    <w:p>
      <w:pPr>
        <w:spacing w:after="120" w:line="276" w:lineRule="auto"/>
      </w:pPr>
      <w:r>
        <w:rPr>
          <w:rFonts w:ascii="Times New Roman" w:hAnsi="Times New Roman" w:eastAsia="Times New Roman"/>
          <w:b w:val="0"/>
          <w:i w:val="0"/>
          <w:sz w:val="24"/>
        </w:rPr>
        <w:t>The broader implication is deliberately cautious. Emerging technologies may influence capital markets not only through realized productivity gains, but also through the narratives and attention they generate. The evidence in this thesis does not claim that AI exposure mechanically creates superior performance, nor that all AI-related capital flows are irrational. Rather, it shows that after a highly visible technological shock, investors and fund managers appear to adjust in ways that are consistent with attention, trust, and selective portfolio concentration. Understanding these channels will remain important as financial markets continue to respond to technological change.</w:t>
      </w:r>
    </w:p>
    <w:sectPr>
      <w:pgSz w:w="11906" w:h="16838"/>
      <w:pgMar w:top="1440" w:right="1800" w:bottom="1440" w:left="1800"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Times New Roman Bold">
    <w:panose1 w:val="02020503050405090304"/>
    <w:charset w:val="00"/>
    <w:family w:val="auto"/>
    <w:pitch w:val="default"/>
    <w:sig w:usb0="E0000AFF" w:usb1="00007843" w:usb2="00000001" w:usb3="00000000" w:csb0="400001BF" w:csb1="DFF70000"/>
  </w:font>
  <w:font w:name="标准粗黑">
    <w:panose1 w:val="02000503000000000000"/>
    <w:charset w:val="86"/>
    <w:family w:val="auto"/>
    <w:pitch w:val="default"/>
    <w:sig w:usb0="8000002F" w:usb1="084164FA" w:usb2="00000012" w:usb3="00000000" w:csb0="00040001" w:csb1="00000000"/>
  </w:font>
  <w:font w:name="Time">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8E3616"/>
    <w:multiLevelType w:val="singleLevel"/>
    <w:tmpl w:val="BB8E3616"/>
    <w:lvl w:ilvl="0" w:tentative="0">
      <w:start w:val="1"/>
      <w:numFmt w:val="bullet"/>
      <w:lvlText w:val=""/>
      <w:lvlJc w:val="left"/>
      <w:pPr>
        <w:ind w:left="420" w:hanging="420"/>
      </w:pPr>
      <w:rPr>
        <w:rFonts w:hint="default" w:ascii="Wingdings" w:hAnsi="Wingdings"/>
      </w:rPr>
    </w:lvl>
  </w:abstractNum>
  <w:abstractNum w:abstractNumId="1">
    <w:nsid w:val="7FFD3AD0"/>
    <w:multiLevelType w:val="singleLevel"/>
    <w:tmpl w:val="7FFD3AD0"/>
    <w:lvl w:ilvl="0" w:tentative="0">
      <w:start w:val="1"/>
      <w:numFmt w:val="decimal"/>
      <w:lvlText w:val="%1."/>
      <w:lvlJc w:val="left"/>
      <w:pPr>
        <w:ind w:left="72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F96B05"/>
    <w:rsid w:val="3FF96B05"/>
    <w:rsid w:val="5DFD827A"/>
    <w:rsid w:val="F7D768F2"/>
    <w:rsid w:val="F9FFC6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0</Words>
  <Characters>0</Characters>
  <Lines>0</Lines>
  <Paragraphs>0</Paragraphs>
  <TotalTime>337</TotalTime>
  <ScaleCrop>false</ScaleCrop>
  <LinksUpToDate>false</LinksUpToDate>
  <CharactersWithSpaces>0</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2026-05-14T16:40:00Z</dcterms:created>
  <dc:creator>果果</dc:creator>
  <cp:lastModifiedBy>果果</cp:lastModifiedBy>
  <dcterms:modified xsi:type="dcterms:W3CDTF">2026-05-16T22:15:13Z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A2F483165FC009FD99A9046A3EC34B49_41</vt:lpwstr>
  </property>
</Properties>
</file>