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bookmarkStart w:id="0" w:name="_GoBack"/>
      <w:bookmarkEnd w:id="0"/>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41D3A34E">
      <w:pPr>
        <w:spacing w:before="0" w:after="0" w:line="360" w:lineRule="auto"/>
        <w:jc w:val="left"/>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288912DC">
      <w:pPr>
        <w:spacing w:before="0" w:after="0" w:line="360" w:lineRule="auto"/>
        <w:jc w:val="left"/>
      </w:pPr>
    </w:p>
    <w:p>
      <w:r>
        <w:br w:type="page"/>
      </w:r>
    </w:p>
    <w:p>
      <w:pPr>
        <w:spacing w:line="360" w:lineRule="auto" w:before="0" w:after="0"/>
        <w:jc w:val="left"/>
      </w:pPr>
      <w:r>
        <w:rPr>
          <w:rFonts w:ascii="Times New Roman" w:hAnsi="Times New Roman" w:eastAsia="Times New Roman"/>
          <w:b/>
          <w:i w:val="0"/>
          <w:sz w:val="28"/>
        </w:rPr>
        <w:t>4. Empirical Results</w:t>
      </w:r>
    </w:p>
    <w:p>
      <w:pPr>
        <w:spacing w:line="360" w:lineRule="auto" w:before="0" w:after="0"/>
        <w:jc w:val="left"/>
      </w:pPr>
      <w:r>
        <w:rPr>
          <w:rFonts w:ascii="Times New Roman" w:hAnsi="Times New Roman" w:eastAsia="Times New Roman"/>
          <w:b w:val="0"/>
          <w:i w:val="0"/>
          <w:sz w:val="24"/>
        </w:rPr>
        <w:t>This chapter presents the empirical results on whether the release of ChatGPT altered mutual fund capital flows and portfolio allocation behavior. The analysis proceeds in six steps. Section 4.1 describes the estimation sample and the key variables. Section 4.2 reports the baseline Difference-in-Differences results for fund flows. Section 4.3 examines the dynamic pattern around the ChatGPT release. Section 4.4 tests whether prior fund performance moderates investor responses. Section 4.5 studies portfolio allocation and strategic adjustment. Section 4.6 evaluates the robustness of the main results.</w:t>
      </w:r>
    </w:p>
    <w:p>
      <w:pPr>
        <w:spacing w:line="360" w:lineRule="auto" w:before="0" w:after="0"/>
        <w:jc w:val="left"/>
      </w:pPr>
      <w:r>
        <w:rPr>
          <w:rFonts w:ascii="Times New Roman" w:hAnsi="Times New Roman" w:eastAsia="Times New Roman"/>
          <w:b/>
          <w:i w:val="0"/>
          <w:sz w:val="24"/>
        </w:rPr>
        <w:t>4.1 Descriptive Statistics</w:t>
      </w:r>
    </w:p>
    <w:p>
      <w:pPr>
        <w:spacing w:line="360" w:lineRule="auto" w:before="0" w:after="0"/>
        <w:jc w:val="left"/>
      </w:pPr>
      <w:r>
        <w:rPr>
          <w:rFonts w:ascii="Times New Roman" w:hAnsi="Times New Roman" w:eastAsia="Times New Roman"/>
          <w:b w:val="0"/>
          <w:i w:val="0"/>
          <w:sz w:val="24"/>
        </w:rPr>
        <w:t xml:space="preserve">The empirical analysis is based on the matched CRSP mutual fund panel described in Chapter 3. The </w:t>
      </w:r>
      <w:r>
        <w:rPr>
          <w:rFonts w:ascii="Times New Roman" w:hAnsi="Times New Roman" w:eastAsia="Times New Roman"/>
          <w:b/>
          <w:i w:val="0"/>
          <w:sz w:val="24"/>
        </w:rPr>
        <w:t>AI exposure</w:t>
      </w:r>
      <w:r>
        <w:rPr>
          <w:rFonts w:ascii="Times New Roman" w:hAnsi="Times New Roman" w:eastAsia="Times New Roman"/>
          <w:b w:val="0"/>
          <w:i w:val="0"/>
          <w:sz w:val="24"/>
        </w:rPr>
        <w:t xml:space="preserve"> dataset contains 14,430 fund-year observations for 2,405 unique funds. After requiring at least two non-missing pre-shock exposure observations, the exposure sample contains 1,425 funds. Of these, 1,269 funds are successfully matched to monthly CRSP mutual fund data. The initial matched monthly panel contains 83,984 fund-month observations; after calculating fund flows and the required lagged variables, the main flow regressions use 81,262 observations from March 2020 to December 2025. The holdings-based H3 sample contains 28,034 fund-quarter observations, with 28,016 observations available in the quarterly regressions.</w:t>
      </w:r>
    </w:p>
    <w:p>
      <w:pPr>
        <w:spacing w:line="360" w:lineRule="auto" w:before="120" w:after="60"/>
        <w:jc w:val="left"/>
      </w:pPr>
      <w:r>
        <w:rPr>
          <w:rFonts w:ascii="Times New Roman" w:hAnsi="Times New Roman" w:eastAsia="Times New Roman"/>
          <w:b/>
          <w:i w:val="0"/>
          <w:sz w:val="24"/>
        </w:rPr>
        <w:t>Table 1. Summary Statistics</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84"/>
        <w:gridCol w:w="1384"/>
        <w:gridCol w:w="1384"/>
        <w:gridCol w:w="1384"/>
        <w:gridCol w:w="1384"/>
        <w:gridCol w:w="1384"/>
      </w:tblGrid>
      <w:tr>
        <w:tc>
          <w:tcPr>
            <w:tcW w:type="dxa" w:w="1944"/>
            <w:vAlign w:val="center"/>
          </w:tcPr>
          <w:p>
            <w:pPr>
              <w:spacing w:line="240" w:lineRule="auto"/>
              <w:jc w:val="center"/>
            </w:pPr>
            <w:r/>
            <w:r>
              <w:rPr>
                <w:rFonts w:ascii="Times New Roman" w:hAnsi="Times New Roman" w:eastAsia="Times New Roman"/>
                <w:b/>
                <w:i w:val="0"/>
                <w:sz w:val="19"/>
              </w:rPr>
              <w:t>Variable</w:t>
            </w:r>
          </w:p>
        </w:tc>
        <w:tc>
          <w:tcPr>
            <w:tcW w:type="dxa" w:w="1080"/>
            <w:vAlign w:val="center"/>
          </w:tcPr>
          <w:p>
            <w:pPr>
              <w:spacing w:line="240" w:lineRule="auto"/>
              <w:jc w:val="center"/>
            </w:pPr>
            <w:r/>
            <w:r>
              <w:rPr>
                <w:rFonts w:ascii="Times New Roman" w:hAnsi="Times New Roman" w:eastAsia="Times New Roman"/>
                <w:b/>
                <w:i w:val="0"/>
                <w:sz w:val="19"/>
              </w:rPr>
              <w:t>Mean</w:t>
            </w:r>
          </w:p>
        </w:tc>
        <w:tc>
          <w:tcPr>
            <w:tcW w:type="dxa" w:w="1080"/>
            <w:vAlign w:val="center"/>
          </w:tcPr>
          <w:p>
            <w:pPr>
              <w:spacing w:line="240" w:lineRule="auto"/>
              <w:jc w:val="center"/>
            </w:pPr>
            <w:r/>
            <w:r>
              <w:rPr>
                <w:rFonts w:ascii="Times New Roman" w:hAnsi="Times New Roman" w:eastAsia="Times New Roman"/>
                <w:b/>
                <w:i w:val="0"/>
                <w:sz w:val="19"/>
              </w:rPr>
              <w:t>Std.</w:t>
            </w:r>
          </w:p>
        </w:tc>
        <w:tc>
          <w:tcPr>
            <w:tcW w:type="dxa" w:w="1080"/>
            <w:vAlign w:val="center"/>
          </w:tcPr>
          <w:p>
            <w:pPr>
              <w:spacing w:line="240" w:lineRule="auto"/>
              <w:jc w:val="center"/>
            </w:pPr>
            <w:r/>
            <w:r>
              <w:rPr>
                <w:rFonts w:ascii="Times New Roman" w:hAnsi="Times New Roman" w:eastAsia="Times New Roman"/>
                <w:b/>
                <w:i w:val="0"/>
                <w:sz w:val="19"/>
              </w:rPr>
              <w:t>Min</w:t>
            </w:r>
          </w:p>
        </w:tc>
        <w:tc>
          <w:tcPr>
            <w:tcW w:type="dxa" w:w="1080"/>
            <w:vAlign w:val="center"/>
          </w:tcPr>
          <w:p>
            <w:pPr>
              <w:spacing w:line="240" w:lineRule="auto"/>
              <w:jc w:val="center"/>
            </w:pPr>
            <w:r/>
            <w:r>
              <w:rPr>
                <w:rFonts w:ascii="Times New Roman" w:hAnsi="Times New Roman" w:eastAsia="Times New Roman"/>
                <w:b/>
                <w:i w:val="0"/>
                <w:sz w:val="19"/>
              </w:rPr>
              <w:t>Max</w:t>
            </w:r>
          </w:p>
        </w:tc>
        <w:tc>
          <w:tcPr>
            <w:tcW w:type="dxa" w:w="1152"/>
            <w:vAlign w:val="center"/>
          </w:tcPr>
          <w:p>
            <w:pPr>
              <w:spacing w:line="240" w:lineRule="auto"/>
              <w:jc w:val="center"/>
            </w:pPr>
            <w:r/>
            <w:r>
              <w:rPr>
                <w:rFonts w:ascii="Times New Roman" w:hAnsi="Times New Roman" w:eastAsia="Times New Roman"/>
                <w:b/>
                <w:i w:val="0"/>
                <w:sz w:val="19"/>
              </w:rPr>
              <w:t>Median</w:t>
            </w:r>
          </w:p>
        </w:tc>
      </w:tr>
      <w:tr>
        <w:tc>
          <w:tcPr>
            <w:tcW w:type="dxa" w:w="1944"/>
            <w:vAlign w:val="center"/>
          </w:tcPr>
          <w:p>
            <w:pPr>
              <w:spacing w:line="240" w:lineRule="auto"/>
              <w:jc w:val="left"/>
            </w:pPr>
            <w:r/>
            <w:r>
              <w:rPr>
                <w:rFonts w:ascii="Times New Roman" w:hAnsi="Times New Roman" w:eastAsia="Times New Roman"/>
                <w:b w:val="0"/>
                <w:i w:val="0"/>
                <w:sz w:val="19"/>
              </w:rPr>
              <w:t>flow_w</w:t>
            </w:r>
          </w:p>
        </w:tc>
        <w:tc>
          <w:tcPr>
            <w:tcW w:type="dxa" w:w="1080"/>
            <w:vAlign w:val="center"/>
          </w:tcPr>
          <w:p>
            <w:pPr>
              <w:spacing w:line="240" w:lineRule="auto"/>
              <w:jc w:val="center"/>
            </w:pPr>
            <w:r/>
            <w:r>
              <w:rPr>
                <w:rFonts w:ascii="Times New Roman" w:hAnsi="Times New Roman" w:eastAsia="Times New Roman"/>
                <w:b w:val="0"/>
                <w:i w:val="0"/>
                <w:sz w:val="19"/>
              </w:rPr>
              <w:t>-0.0026</w:t>
            </w:r>
          </w:p>
        </w:tc>
        <w:tc>
          <w:tcPr>
            <w:tcW w:type="dxa" w:w="1080"/>
            <w:vAlign w:val="center"/>
          </w:tcPr>
          <w:p>
            <w:pPr>
              <w:spacing w:line="240" w:lineRule="auto"/>
              <w:jc w:val="center"/>
            </w:pPr>
            <w:r/>
            <w:r>
              <w:rPr>
                <w:rFonts w:ascii="Times New Roman" w:hAnsi="Times New Roman" w:eastAsia="Times New Roman"/>
                <w:b w:val="0"/>
                <w:i w:val="0"/>
                <w:sz w:val="19"/>
              </w:rPr>
              <w:t>0.1080</w:t>
            </w:r>
          </w:p>
        </w:tc>
        <w:tc>
          <w:tcPr>
            <w:tcW w:type="dxa" w:w="1080"/>
            <w:vAlign w:val="center"/>
          </w:tcPr>
          <w:p>
            <w:pPr>
              <w:spacing w:line="240" w:lineRule="auto"/>
              <w:jc w:val="center"/>
            </w:pPr>
            <w:r/>
            <w:r>
              <w:rPr>
                <w:rFonts w:ascii="Times New Roman" w:hAnsi="Times New Roman" w:eastAsia="Times New Roman"/>
                <w:b w:val="0"/>
                <w:i w:val="0"/>
                <w:sz w:val="19"/>
              </w:rPr>
              <w:t>-0.3916</w:t>
            </w:r>
          </w:p>
        </w:tc>
        <w:tc>
          <w:tcPr>
            <w:tcW w:type="dxa" w:w="1080"/>
            <w:vAlign w:val="center"/>
          </w:tcPr>
          <w:p>
            <w:pPr>
              <w:spacing w:line="240" w:lineRule="auto"/>
              <w:jc w:val="center"/>
            </w:pPr>
            <w:r/>
            <w:r>
              <w:rPr>
                <w:rFonts w:ascii="Times New Roman" w:hAnsi="Times New Roman" w:eastAsia="Times New Roman"/>
                <w:b w:val="0"/>
                <w:i w:val="0"/>
                <w:sz w:val="19"/>
              </w:rPr>
              <w:t>0.6548</w:t>
            </w:r>
          </w:p>
        </w:tc>
        <w:tc>
          <w:tcPr>
            <w:tcW w:type="dxa" w:w="1152"/>
            <w:vAlign w:val="center"/>
          </w:tcPr>
          <w:p>
            <w:pPr>
              <w:spacing w:line="240" w:lineRule="auto"/>
              <w:jc w:val="center"/>
            </w:pPr>
            <w:r/>
            <w:r>
              <w:rPr>
                <w:rFonts w:ascii="Times New Roman" w:hAnsi="Times New Roman" w:eastAsia="Times New Roman"/>
                <w:b w:val="0"/>
                <w:i w:val="0"/>
                <w:sz w:val="19"/>
              </w:rPr>
              <w:t>-0.0068</w:t>
            </w:r>
          </w:p>
        </w:tc>
      </w:tr>
      <w:tr>
        <w:tc>
          <w:tcPr>
            <w:tcW w:type="dxa" w:w="1944"/>
            <w:vAlign w:val="center"/>
          </w:tcPr>
          <w:p>
            <w:pPr>
              <w:spacing w:line="240" w:lineRule="auto"/>
              <w:jc w:val="left"/>
            </w:pPr>
            <w:r/>
            <w:r>
              <w:rPr>
                <w:rFonts w:ascii="Times New Roman" w:hAnsi="Times New Roman" w:eastAsia="Times New Roman"/>
                <w:b w:val="0"/>
                <w:i w:val="0"/>
                <w:sz w:val="19"/>
              </w:rPr>
              <w:t>AIExposureZ</w:t>
            </w:r>
          </w:p>
        </w:tc>
        <w:tc>
          <w:tcPr>
            <w:tcW w:type="dxa" w:w="1080"/>
            <w:vAlign w:val="center"/>
          </w:tcPr>
          <w:p>
            <w:pPr>
              <w:spacing w:line="240" w:lineRule="auto"/>
              <w:jc w:val="center"/>
            </w:pPr>
            <w:r/>
            <w:r>
              <w:rPr>
                <w:rFonts w:ascii="Times New Roman" w:hAnsi="Times New Roman" w:eastAsia="Times New Roman"/>
                <w:b w:val="0"/>
                <w:i w:val="0"/>
                <w:sz w:val="19"/>
              </w:rPr>
              <w:t>0.0000</w:t>
            </w:r>
          </w:p>
        </w:tc>
        <w:tc>
          <w:tcPr>
            <w:tcW w:type="dxa" w:w="1080"/>
            <w:vAlign w:val="center"/>
          </w:tcPr>
          <w:p>
            <w:pPr>
              <w:spacing w:line="240" w:lineRule="auto"/>
              <w:jc w:val="center"/>
            </w:pPr>
            <w:r/>
            <w:r>
              <w:rPr>
                <w:rFonts w:ascii="Times New Roman" w:hAnsi="Times New Roman" w:eastAsia="Times New Roman"/>
                <w:b w:val="0"/>
                <w:i w:val="0"/>
                <w:sz w:val="19"/>
              </w:rPr>
              <w:t>1.0000</w:t>
            </w:r>
          </w:p>
        </w:tc>
        <w:tc>
          <w:tcPr>
            <w:tcW w:type="dxa" w:w="1080"/>
            <w:vAlign w:val="center"/>
          </w:tcPr>
          <w:p>
            <w:pPr>
              <w:spacing w:line="240" w:lineRule="auto"/>
              <w:jc w:val="center"/>
            </w:pPr>
            <w:r/>
            <w:r>
              <w:rPr>
                <w:rFonts w:ascii="Times New Roman" w:hAnsi="Times New Roman" w:eastAsia="Times New Roman"/>
                <w:b w:val="0"/>
                <w:i w:val="0"/>
                <w:sz w:val="19"/>
              </w:rPr>
              <w:t>-2.0830</w:t>
            </w:r>
          </w:p>
        </w:tc>
        <w:tc>
          <w:tcPr>
            <w:tcW w:type="dxa" w:w="1080"/>
            <w:vAlign w:val="center"/>
          </w:tcPr>
          <w:p>
            <w:pPr>
              <w:spacing w:line="240" w:lineRule="auto"/>
              <w:jc w:val="center"/>
            </w:pPr>
            <w:r/>
            <w:r>
              <w:rPr>
                <w:rFonts w:ascii="Times New Roman" w:hAnsi="Times New Roman" w:eastAsia="Times New Roman"/>
                <w:b w:val="0"/>
                <w:i w:val="0"/>
                <w:sz w:val="19"/>
              </w:rPr>
              <w:t>1.6674</w:t>
            </w:r>
          </w:p>
        </w:tc>
        <w:tc>
          <w:tcPr>
            <w:tcW w:type="dxa" w:w="1152"/>
            <w:vAlign w:val="center"/>
          </w:tcPr>
          <w:p>
            <w:pPr>
              <w:spacing w:line="240" w:lineRule="auto"/>
              <w:jc w:val="center"/>
            </w:pPr>
            <w:r/>
            <w:r>
              <w:rPr>
                <w:rFonts w:ascii="Times New Roman" w:hAnsi="Times New Roman" w:eastAsia="Times New Roman"/>
                <w:b w:val="0"/>
                <w:i w:val="0"/>
                <w:sz w:val="19"/>
              </w:rPr>
              <w:t>0.3260</w:t>
            </w:r>
          </w:p>
        </w:tc>
      </w:tr>
      <w:tr>
        <w:tc>
          <w:tcPr>
            <w:tcW w:type="dxa" w:w="1944"/>
            <w:vAlign w:val="center"/>
          </w:tcPr>
          <w:p>
            <w:pPr>
              <w:spacing w:line="240" w:lineRule="auto"/>
              <w:jc w:val="left"/>
            </w:pPr>
            <w:r/>
            <w:r>
              <w:rPr>
                <w:rFonts w:ascii="Times New Roman" w:hAnsi="Times New Roman" w:eastAsia="Times New Roman"/>
                <w:b w:val="0"/>
                <w:i w:val="0"/>
                <w:sz w:val="19"/>
              </w:rPr>
              <w:t>log_mtna_lag</w:t>
            </w:r>
          </w:p>
        </w:tc>
        <w:tc>
          <w:tcPr>
            <w:tcW w:type="dxa" w:w="1080"/>
            <w:vAlign w:val="center"/>
          </w:tcPr>
          <w:p>
            <w:pPr>
              <w:spacing w:line="240" w:lineRule="auto"/>
              <w:jc w:val="center"/>
            </w:pPr>
            <w:r/>
            <w:r>
              <w:rPr>
                <w:rFonts w:ascii="Times New Roman" w:hAnsi="Times New Roman" w:eastAsia="Times New Roman"/>
                <w:b w:val="0"/>
                <w:i w:val="0"/>
                <w:sz w:val="19"/>
              </w:rPr>
              <w:t>3.7447</w:t>
            </w:r>
          </w:p>
        </w:tc>
        <w:tc>
          <w:tcPr>
            <w:tcW w:type="dxa" w:w="1080"/>
            <w:vAlign w:val="center"/>
          </w:tcPr>
          <w:p>
            <w:pPr>
              <w:spacing w:line="240" w:lineRule="auto"/>
              <w:jc w:val="center"/>
            </w:pPr>
            <w:r/>
            <w:r>
              <w:rPr>
                <w:rFonts w:ascii="Times New Roman" w:hAnsi="Times New Roman" w:eastAsia="Times New Roman"/>
                <w:b w:val="0"/>
                <w:i w:val="0"/>
                <w:sz w:val="19"/>
              </w:rPr>
              <w:t>2.8295</w:t>
            </w:r>
          </w:p>
        </w:tc>
        <w:tc>
          <w:tcPr>
            <w:tcW w:type="dxa" w:w="1080"/>
            <w:vAlign w:val="center"/>
          </w:tcPr>
          <w:p>
            <w:pPr>
              <w:spacing w:line="240" w:lineRule="auto"/>
              <w:jc w:val="center"/>
            </w:pPr>
            <w:r/>
            <w:r>
              <w:rPr>
                <w:rFonts w:ascii="Times New Roman" w:hAnsi="Times New Roman" w:eastAsia="Times New Roman"/>
                <w:b w:val="0"/>
                <w:i w:val="0"/>
                <w:sz w:val="19"/>
              </w:rPr>
              <w:t>-2.3026</w:t>
            </w:r>
          </w:p>
        </w:tc>
        <w:tc>
          <w:tcPr>
            <w:tcW w:type="dxa" w:w="1080"/>
            <w:vAlign w:val="center"/>
          </w:tcPr>
          <w:p>
            <w:pPr>
              <w:spacing w:line="240" w:lineRule="auto"/>
              <w:jc w:val="center"/>
            </w:pPr>
            <w:r/>
            <w:r>
              <w:rPr>
                <w:rFonts w:ascii="Times New Roman" w:hAnsi="Times New Roman" w:eastAsia="Times New Roman"/>
                <w:b w:val="0"/>
                <w:i w:val="0"/>
                <w:sz w:val="19"/>
              </w:rPr>
              <w:t>11.7812</w:t>
            </w:r>
          </w:p>
        </w:tc>
        <w:tc>
          <w:tcPr>
            <w:tcW w:type="dxa" w:w="1152"/>
            <w:vAlign w:val="center"/>
          </w:tcPr>
          <w:p>
            <w:pPr>
              <w:spacing w:line="240" w:lineRule="auto"/>
              <w:jc w:val="center"/>
            </w:pPr>
            <w:r/>
            <w:r>
              <w:rPr>
                <w:rFonts w:ascii="Times New Roman" w:hAnsi="Times New Roman" w:eastAsia="Times New Roman"/>
                <w:b w:val="0"/>
                <w:i w:val="0"/>
                <w:sz w:val="19"/>
              </w:rPr>
              <w:t>3.8089</w:t>
            </w:r>
          </w:p>
        </w:tc>
      </w:tr>
      <w:tr>
        <w:tc>
          <w:tcPr>
            <w:tcW w:type="dxa" w:w="1944"/>
            <w:vAlign w:val="center"/>
          </w:tcPr>
          <w:p>
            <w:pPr>
              <w:spacing w:line="240" w:lineRule="auto"/>
              <w:jc w:val="left"/>
            </w:pPr>
            <w:r/>
            <w:r>
              <w:rPr>
                <w:rFonts w:ascii="Times New Roman" w:hAnsi="Times New Roman" w:eastAsia="Times New Roman"/>
                <w:b w:val="0"/>
                <w:i w:val="0"/>
                <w:sz w:val="19"/>
              </w:rPr>
              <w:t>mret_lag</w:t>
            </w:r>
          </w:p>
        </w:tc>
        <w:tc>
          <w:tcPr>
            <w:tcW w:type="dxa" w:w="1080"/>
            <w:vAlign w:val="center"/>
          </w:tcPr>
          <w:p>
            <w:pPr>
              <w:spacing w:line="240" w:lineRule="auto"/>
              <w:jc w:val="center"/>
            </w:pPr>
            <w:r/>
            <w:r>
              <w:rPr>
                <w:rFonts w:ascii="Times New Roman" w:hAnsi="Times New Roman" w:eastAsia="Times New Roman"/>
                <w:b w:val="0"/>
                <w:i w:val="0"/>
                <w:sz w:val="19"/>
              </w:rPr>
              <w:t>0.0104</w:t>
            </w:r>
          </w:p>
        </w:tc>
        <w:tc>
          <w:tcPr>
            <w:tcW w:type="dxa" w:w="1080"/>
            <w:vAlign w:val="center"/>
          </w:tcPr>
          <w:p>
            <w:pPr>
              <w:spacing w:line="240" w:lineRule="auto"/>
              <w:jc w:val="center"/>
            </w:pPr>
            <w:r/>
            <w:r>
              <w:rPr>
                <w:rFonts w:ascii="Times New Roman" w:hAnsi="Times New Roman" w:eastAsia="Times New Roman"/>
                <w:b w:val="0"/>
                <w:i w:val="0"/>
                <w:sz w:val="19"/>
              </w:rPr>
              <w:t>0.0654</w:t>
            </w:r>
          </w:p>
        </w:tc>
        <w:tc>
          <w:tcPr>
            <w:tcW w:type="dxa" w:w="1080"/>
            <w:vAlign w:val="center"/>
          </w:tcPr>
          <w:p>
            <w:pPr>
              <w:spacing w:line="240" w:lineRule="auto"/>
              <w:jc w:val="center"/>
            </w:pPr>
            <w:r/>
            <w:r>
              <w:rPr>
                <w:rFonts w:ascii="Times New Roman" w:hAnsi="Times New Roman" w:eastAsia="Times New Roman"/>
                <w:b w:val="0"/>
                <w:i w:val="0"/>
                <w:sz w:val="19"/>
              </w:rPr>
              <w:t>-0.7420</w:t>
            </w:r>
          </w:p>
        </w:tc>
        <w:tc>
          <w:tcPr>
            <w:tcW w:type="dxa" w:w="1080"/>
            <w:vAlign w:val="center"/>
          </w:tcPr>
          <w:p>
            <w:pPr>
              <w:spacing w:line="240" w:lineRule="auto"/>
              <w:jc w:val="center"/>
            </w:pPr>
            <w:r/>
            <w:r>
              <w:rPr>
                <w:rFonts w:ascii="Times New Roman" w:hAnsi="Times New Roman" w:eastAsia="Times New Roman"/>
                <w:b w:val="0"/>
                <w:i w:val="0"/>
                <w:sz w:val="19"/>
              </w:rPr>
              <w:t>0.6840</w:t>
            </w:r>
          </w:p>
        </w:tc>
        <w:tc>
          <w:tcPr>
            <w:tcW w:type="dxa" w:w="1152"/>
            <w:vAlign w:val="center"/>
          </w:tcPr>
          <w:p>
            <w:pPr>
              <w:spacing w:line="240" w:lineRule="auto"/>
              <w:jc w:val="center"/>
            </w:pPr>
            <w:r/>
            <w:r>
              <w:rPr>
                <w:rFonts w:ascii="Times New Roman" w:hAnsi="Times New Roman" w:eastAsia="Times New Roman"/>
                <w:b w:val="0"/>
                <w:i w:val="0"/>
                <w:sz w:val="19"/>
              </w:rPr>
              <w:t>0.0131</w:t>
            </w:r>
          </w:p>
        </w:tc>
      </w:tr>
      <w:tr>
        <w:tc>
          <w:tcPr>
            <w:tcW w:type="dxa" w:w="1944"/>
            <w:vAlign w:val="center"/>
          </w:tcPr>
          <w:p>
            <w:pPr>
              <w:spacing w:line="240" w:lineRule="auto"/>
              <w:jc w:val="left"/>
            </w:pPr>
            <w:r/>
            <w:r>
              <w:rPr>
                <w:rFonts w:ascii="Times New Roman" w:hAnsi="Times New Roman" w:eastAsia="Times New Roman"/>
                <w:b w:val="0"/>
                <w:i w:val="0"/>
                <w:sz w:val="19"/>
              </w:rPr>
              <w:t>flow_lag</w:t>
            </w:r>
          </w:p>
        </w:tc>
        <w:tc>
          <w:tcPr>
            <w:tcW w:type="dxa" w:w="1080"/>
            <w:vAlign w:val="center"/>
          </w:tcPr>
          <w:p>
            <w:pPr>
              <w:spacing w:line="240" w:lineRule="auto"/>
              <w:jc w:val="center"/>
            </w:pPr>
            <w:r/>
            <w:r>
              <w:rPr>
                <w:rFonts w:ascii="Times New Roman" w:hAnsi="Times New Roman" w:eastAsia="Times New Roman"/>
                <w:b w:val="0"/>
                <w:i w:val="0"/>
                <w:sz w:val="19"/>
              </w:rPr>
              <w:t>-0.0024</w:t>
            </w:r>
          </w:p>
        </w:tc>
        <w:tc>
          <w:tcPr>
            <w:tcW w:type="dxa" w:w="1080"/>
            <w:vAlign w:val="center"/>
          </w:tcPr>
          <w:p>
            <w:pPr>
              <w:spacing w:line="240" w:lineRule="auto"/>
              <w:jc w:val="center"/>
            </w:pPr>
            <w:r/>
            <w:r>
              <w:rPr>
                <w:rFonts w:ascii="Times New Roman" w:hAnsi="Times New Roman" w:eastAsia="Times New Roman"/>
                <w:b w:val="0"/>
                <w:i w:val="0"/>
                <w:sz w:val="19"/>
              </w:rPr>
              <w:t>0.1079</w:t>
            </w:r>
          </w:p>
        </w:tc>
        <w:tc>
          <w:tcPr>
            <w:tcW w:type="dxa" w:w="1080"/>
            <w:vAlign w:val="center"/>
          </w:tcPr>
          <w:p>
            <w:pPr>
              <w:spacing w:line="240" w:lineRule="auto"/>
              <w:jc w:val="center"/>
            </w:pPr>
            <w:r/>
            <w:r>
              <w:rPr>
                <w:rFonts w:ascii="Times New Roman" w:hAnsi="Times New Roman" w:eastAsia="Times New Roman"/>
                <w:b w:val="0"/>
                <w:i w:val="0"/>
                <w:sz w:val="19"/>
              </w:rPr>
              <w:t>-0.3916</w:t>
            </w:r>
          </w:p>
        </w:tc>
        <w:tc>
          <w:tcPr>
            <w:tcW w:type="dxa" w:w="1080"/>
            <w:vAlign w:val="center"/>
          </w:tcPr>
          <w:p>
            <w:pPr>
              <w:spacing w:line="240" w:lineRule="auto"/>
              <w:jc w:val="center"/>
            </w:pPr>
            <w:r/>
            <w:r>
              <w:rPr>
                <w:rFonts w:ascii="Times New Roman" w:hAnsi="Times New Roman" w:eastAsia="Times New Roman"/>
                <w:b w:val="0"/>
                <w:i w:val="0"/>
                <w:sz w:val="19"/>
              </w:rPr>
              <w:t>0.6548</w:t>
            </w:r>
          </w:p>
        </w:tc>
        <w:tc>
          <w:tcPr>
            <w:tcW w:type="dxa" w:w="1152"/>
            <w:vAlign w:val="center"/>
          </w:tcPr>
          <w:p>
            <w:pPr>
              <w:spacing w:line="240" w:lineRule="auto"/>
              <w:jc w:val="center"/>
            </w:pPr>
            <w:r/>
            <w:r>
              <w:rPr>
                <w:rFonts w:ascii="Times New Roman" w:hAnsi="Times New Roman" w:eastAsia="Times New Roman"/>
                <w:b w:val="0"/>
                <w:i w:val="0"/>
                <w:sz w:val="19"/>
              </w:rPr>
              <w:t>-0.0067</w:t>
            </w:r>
          </w:p>
        </w:tc>
      </w:tr>
      <w:tr>
        <w:tc>
          <w:tcPr>
            <w:tcW w:type="dxa" w:w="1944"/>
            <w:vAlign w:val="center"/>
          </w:tcPr>
          <w:p>
            <w:pPr>
              <w:spacing w:line="240" w:lineRule="auto"/>
              <w:jc w:val="left"/>
            </w:pPr>
            <w:r/>
            <w:r>
              <w:rPr>
                <w:rFonts w:ascii="Times New Roman" w:hAnsi="Times New Roman" w:eastAsia="Times New Roman"/>
                <w:b w:val="0"/>
                <w:i w:val="0"/>
                <w:sz w:val="19"/>
              </w:rPr>
              <w:t>alpha</w:t>
            </w:r>
          </w:p>
        </w:tc>
        <w:tc>
          <w:tcPr>
            <w:tcW w:type="dxa" w:w="1080"/>
            <w:vAlign w:val="center"/>
          </w:tcPr>
          <w:p>
            <w:pPr>
              <w:spacing w:line="240" w:lineRule="auto"/>
              <w:jc w:val="center"/>
            </w:pPr>
            <w:r/>
            <w:r>
              <w:rPr>
                <w:rFonts w:ascii="Times New Roman" w:hAnsi="Times New Roman" w:eastAsia="Times New Roman"/>
                <w:b w:val="0"/>
                <w:i w:val="0"/>
                <w:sz w:val="19"/>
              </w:rPr>
              <w:t>-0.0032</w:t>
            </w:r>
          </w:p>
        </w:tc>
        <w:tc>
          <w:tcPr>
            <w:tcW w:type="dxa" w:w="1080"/>
            <w:vAlign w:val="center"/>
          </w:tcPr>
          <w:p>
            <w:pPr>
              <w:spacing w:line="240" w:lineRule="auto"/>
              <w:jc w:val="center"/>
            </w:pPr>
            <w:r/>
            <w:r>
              <w:rPr>
                <w:rFonts w:ascii="Times New Roman" w:hAnsi="Times New Roman" w:eastAsia="Times New Roman"/>
                <w:b w:val="0"/>
                <w:i w:val="0"/>
                <w:sz w:val="19"/>
              </w:rPr>
              <w:t>0.0045</w:t>
            </w:r>
          </w:p>
        </w:tc>
        <w:tc>
          <w:tcPr>
            <w:tcW w:type="dxa" w:w="1080"/>
            <w:vAlign w:val="center"/>
          </w:tcPr>
          <w:p>
            <w:pPr>
              <w:spacing w:line="240" w:lineRule="auto"/>
              <w:jc w:val="center"/>
            </w:pPr>
            <w:r/>
            <w:r>
              <w:rPr>
                <w:rFonts w:ascii="Times New Roman" w:hAnsi="Times New Roman" w:eastAsia="Times New Roman"/>
                <w:b w:val="0"/>
                <w:i w:val="0"/>
                <w:sz w:val="19"/>
              </w:rPr>
              <w:t>-0.0456</w:t>
            </w:r>
          </w:p>
        </w:tc>
        <w:tc>
          <w:tcPr>
            <w:tcW w:type="dxa" w:w="1080"/>
            <w:vAlign w:val="center"/>
          </w:tcPr>
          <w:p>
            <w:pPr>
              <w:spacing w:line="240" w:lineRule="auto"/>
              <w:jc w:val="center"/>
            </w:pPr>
            <w:r/>
            <w:r>
              <w:rPr>
                <w:rFonts w:ascii="Times New Roman" w:hAnsi="Times New Roman" w:eastAsia="Times New Roman"/>
                <w:b w:val="0"/>
                <w:i w:val="0"/>
                <w:sz w:val="19"/>
              </w:rPr>
              <w:t>0.0180</w:t>
            </w:r>
          </w:p>
        </w:tc>
        <w:tc>
          <w:tcPr>
            <w:tcW w:type="dxa" w:w="1152"/>
            <w:vAlign w:val="center"/>
          </w:tcPr>
          <w:p>
            <w:pPr>
              <w:spacing w:line="240" w:lineRule="auto"/>
              <w:jc w:val="center"/>
            </w:pPr>
            <w:r/>
            <w:r>
              <w:rPr>
                <w:rFonts w:ascii="Times New Roman" w:hAnsi="Times New Roman" w:eastAsia="Times New Roman"/>
                <w:b w:val="0"/>
                <w:i w:val="0"/>
                <w:sz w:val="19"/>
              </w:rPr>
              <w:t>-0.0028</w:t>
            </w:r>
          </w:p>
        </w:tc>
      </w:tr>
      <w:tr>
        <w:tc>
          <w:tcPr>
            <w:tcW w:type="dxa" w:w="1944"/>
            <w:vAlign w:val="center"/>
          </w:tcPr>
          <w:p>
            <w:pPr>
              <w:spacing w:line="240" w:lineRule="auto"/>
              <w:jc w:val="left"/>
            </w:pPr>
            <w:r/>
            <w:r>
              <w:rPr>
                <w:rFonts w:ascii="Times New Roman" w:hAnsi="Times New Roman" w:eastAsia="Times New Roman"/>
                <w:b w:val="0"/>
                <w:i w:val="0"/>
                <w:sz w:val="19"/>
              </w:rPr>
              <w:t>AIShare</w:t>
            </w:r>
          </w:p>
        </w:tc>
        <w:tc>
          <w:tcPr>
            <w:tcW w:type="dxa" w:w="1080"/>
            <w:vAlign w:val="center"/>
          </w:tcPr>
          <w:p>
            <w:pPr>
              <w:spacing w:line="240" w:lineRule="auto"/>
              <w:jc w:val="center"/>
            </w:pPr>
            <w:r/>
            <w:r>
              <w:rPr>
                <w:rFonts w:ascii="Times New Roman" w:hAnsi="Times New Roman" w:eastAsia="Times New Roman"/>
                <w:b w:val="0"/>
                <w:i w:val="0"/>
                <w:sz w:val="19"/>
              </w:rPr>
              <w:t>21.6134</w:t>
            </w:r>
          </w:p>
        </w:tc>
        <w:tc>
          <w:tcPr>
            <w:tcW w:type="dxa" w:w="1080"/>
            <w:vAlign w:val="center"/>
          </w:tcPr>
          <w:p>
            <w:pPr>
              <w:spacing w:line="240" w:lineRule="auto"/>
              <w:jc w:val="center"/>
            </w:pPr>
            <w:r/>
            <w:r>
              <w:rPr>
                <w:rFonts w:ascii="Times New Roman" w:hAnsi="Times New Roman" w:eastAsia="Times New Roman"/>
                <w:b w:val="0"/>
                <w:i w:val="0"/>
                <w:sz w:val="19"/>
              </w:rPr>
              <w:t>34.2117</w:t>
            </w:r>
          </w:p>
        </w:tc>
        <w:tc>
          <w:tcPr>
            <w:tcW w:type="dxa" w:w="1080"/>
            <w:vAlign w:val="center"/>
          </w:tcPr>
          <w:p>
            <w:pPr>
              <w:spacing w:line="240" w:lineRule="auto"/>
              <w:jc w:val="center"/>
            </w:pPr>
            <w:r/>
            <w:r>
              <w:rPr>
                <w:rFonts w:ascii="Times New Roman" w:hAnsi="Times New Roman" w:eastAsia="Times New Roman"/>
                <w:b w:val="0"/>
                <w:i w:val="0"/>
                <w:sz w:val="19"/>
              </w:rPr>
              <w:t>-9.6300</w:t>
            </w:r>
          </w:p>
        </w:tc>
        <w:tc>
          <w:tcPr>
            <w:tcW w:type="dxa" w:w="1080"/>
            <w:vAlign w:val="center"/>
          </w:tcPr>
          <w:p>
            <w:pPr>
              <w:spacing w:line="240" w:lineRule="auto"/>
              <w:jc w:val="center"/>
            </w:pPr>
            <w:r/>
            <w:r>
              <w:rPr>
                <w:rFonts w:ascii="Times New Roman" w:hAnsi="Times New Roman" w:eastAsia="Times New Roman"/>
                <w:b w:val="0"/>
                <w:i w:val="0"/>
                <w:sz w:val="19"/>
              </w:rPr>
              <w:t>179.9499</w:t>
            </w:r>
          </w:p>
        </w:tc>
        <w:tc>
          <w:tcPr>
            <w:tcW w:type="dxa" w:w="1152"/>
            <w:vAlign w:val="center"/>
          </w:tcPr>
          <w:p>
            <w:pPr>
              <w:spacing w:line="240" w:lineRule="auto"/>
              <w:jc w:val="center"/>
            </w:pPr>
            <w:r/>
            <w:r>
              <w:rPr>
                <w:rFonts w:ascii="Times New Roman" w:hAnsi="Times New Roman" w:eastAsia="Times New Roman"/>
                <w:b w:val="0"/>
                <w:i w:val="0"/>
                <w:sz w:val="19"/>
              </w:rPr>
              <w:t>3.6000</w:t>
            </w:r>
          </w:p>
        </w:tc>
      </w:tr>
    </w:tbl>
    <w:p>
      <w:pPr>
        <w:spacing w:line="240" w:lineRule="auto" w:before="0" w:after="120"/>
        <w:jc w:val="left"/>
      </w:pPr>
      <w:r>
        <w:rPr>
          <w:rFonts w:ascii="Times New Roman" w:hAnsi="Times New Roman" w:eastAsia="Times New Roman"/>
          <w:b w:val="0"/>
          <w:i/>
          <w:sz w:val="20"/>
        </w:rPr>
        <w:t>Notes: flow_w is the winsorized monthly mutual fund flow. AIExposureZ is standardized pre-shock AI exposure. alpha is the pre-shock Fama-French three-factor alpha. AIShare is the quarterly percentage portfolio weight allocated to AI-related stocks.</w:t>
      </w:r>
    </w:p>
    <w:p>
      <w:pPr>
        <w:spacing w:line="360" w:lineRule="auto" w:before="0" w:after="0"/>
        <w:jc w:val="left"/>
      </w:pPr>
      <w:r>
        <w:rPr>
          <w:rFonts w:ascii="Times New Roman" w:hAnsi="Times New Roman" w:eastAsia="Times New Roman"/>
          <w:b w:val="0"/>
          <w:i w:val="0"/>
          <w:sz w:val="24"/>
        </w:rPr>
        <w:t xml:space="preserve">Table 1 shows that monthly mutual fund flows are tightly concentrated around zero. The mean of </w:t>
      </w:r>
      <w:r>
        <w:rPr>
          <w:rFonts w:ascii="Times New Roman" w:hAnsi="Times New Roman" w:eastAsia="Times New Roman"/>
          <w:b/>
          <w:i w:val="0"/>
          <w:sz w:val="24"/>
        </w:rPr>
        <w:t>flow_w</w:t>
      </w:r>
      <w:r>
        <w:rPr>
          <w:rFonts w:ascii="Times New Roman" w:hAnsi="Times New Roman" w:eastAsia="Times New Roman"/>
          <w:b w:val="0"/>
          <w:i w:val="0"/>
          <w:sz w:val="24"/>
        </w:rPr>
        <w:t xml:space="preserve"> is -0.26 percent and the median is -0.68 percent, while the 1st and 99th percentile winsorization bounds are approximately -39.16 percent and 65.48 percent. This pattern is typical of mutual fund flow data: most fund-month observations exhibit modest inflows or outflows, while a small number of observations display large reallocations. The lagged return variable has a positive mean of 1.04 percent, reflecting the generally strong equity-market performance over parts of the sample period.</w:t>
      </w:r>
    </w:p>
    <w:p>
      <w:pPr>
        <w:spacing w:line="360" w:lineRule="auto" w:before="0" w:after="0"/>
        <w:jc w:val="left"/>
      </w:pPr>
      <w:r>
        <w:rPr>
          <w:rFonts w:ascii="Times New Roman" w:hAnsi="Times New Roman" w:eastAsia="Times New Roman"/>
          <w:b w:val="0"/>
          <w:i w:val="0"/>
          <w:sz w:val="24"/>
        </w:rPr>
        <w:t xml:space="preserve">The distribution of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central to the identification strategy. The standardized exposure variable has mean zero and standard deviation one by construction, but the underlying pre-shock exposure measure displays substantial cross-sectional heterogeneity. The mean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50.59 percent, the median is 58.51 percent, and the standard deviation is 24.29 percentage points. The minimum is zero, while the maximum exceeds 91 percent. This dispersion indicates that mutual funds entered the ChatGPT period with very different degrees of exposure to AI-related firms.</w:t>
      </w:r>
    </w:p>
    <w:p>
      <w:pPr>
        <w:spacing w:line="360" w:lineRule="auto" w:before="120" w:after="60"/>
        <w:jc w:val="left"/>
      </w:pPr>
      <w:r>
        <w:rPr>
          <w:rFonts w:ascii="Times New Roman" w:hAnsi="Times New Roman" w:eastAsia="Times New Roman"/>
          <w:b/>
          <w:i w:val="0"/>
          <w:sz w:val="24"/>
        </w:rPr>
        <w:t>Figure 1. Distribution of Pre-Shock AI Exposure</w:t>
      </w:r>
    </w:p>
    <w:p>
      <w:pPr>
        <w:spacing w:line="240" w:lineRule="auto" w:before="0" w:after="0"/>
        <w:jc w:val="center"/>
      </w:pPr>
      <w:r>
        <w:drawing>
          <wp:inline xmlns:a="http://schemas.openxmlformats.org/drawingml/2006/main" xmlns:pic="http://schemas.openxmlformats.org/drawingml/2006/picture">
            <wp:extent cx="5303520" cy="3586553"/>
            <wp:docPr id="2" name="Picture 2"/>
            <wp:cNvGraphicFramePr>
              <a:graphicFrameLocks noChangeAspect="1"/>
            </wp:cNvGraphicFramePr>
            <a:graphic>
              <a:graphicData uri="http://schemas.openxmlformats.org/drawingml/2006/picture">
                <pic:pic>
                  <pic:nvPicPr>
                    <pic:cNvPr id="0" name="H1_H2_cell16_out0.png"/>
                    <pic:cNvPicPr/>
                  </pic:nvPicPr>
                  <pic:blipFill>
                    <a:blip r:embed="rId7"/>
                    <a:stretch>
                      <a:fillRect/>
                    </a:stretch>
                  </pic:blipFill>
                  <pic:spPr>
                    <a:xfrm>
                      <a:off x="0" y="0"/>
                      <a:ext cx="5303520" cy="3586553"/>
                    </a:xfrm>
                    <a:prstGeom prst="rect"/>
                  </pic:spPr>
                </pic:pic>
              </a:graphicData>
            </a:graphic>
          </wp:inline>
        </w:drawing>
      </w:r>
    </w:p>
    <w:p>
      <w:pPr>
        <w:spacing w:line="360" w:lineRule="auto" w:before="0" w:after="0"/>
        <w:jc w:val="left"/>
      </w:pPr>
      <w:r>
        <w:rPr>
          <w:rFonts w:ascii="Times New Roman" w:hAnsi="Times New Roman" w:eastAsia="Times New Roman"/>
          <w:b w:val="0"/>
          <w:i w:val="0"/>
          <w:sz w:val="24"/>
        </w:rPr>
        <w:t xml:space="preserve">Figure 1 plots the distribution of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The distribution is not concentrated around a single value. Instead, it shows a sizeable low-exposure mass together with a broad right-side range of funds holding large AI-related positions. This variation is important because the DiD design relies on cross-sectional differences in predetermined exposure before the ChatGPT shock. The presence of substantial heterogeneity across funds supports the use of </w:t>
      </w:r>
      <w:r>
        <w:rPr>
          <w:rFonts w:ascii="Times New Roman" w:hAnsi="Times New Roman" w:eastAsia="Times New Roman"/>
          <w:b/>
          <w:i w:val="0"/>
          <w:sz w:val="24"/>
        </w:rPr>
        <w:t>AIExposureZ</w:t>
      </w:r>
      <w:r>
        <w:rPr>
          <w:rFonts w:ascii="Times New Roman" w:hAnsi="Times New Roman" w:eastAsia="Times New Roman"/>
          <w:b w:val="0"/>
          <w:i w:val="0"/>
          <w:sz w:val="24"/>
        </w:rPr>
        <w:t xml:space="preserve"> as a treatment-intensity measure rather than a narrow binary classification.</w:t>
      </w:r>
    </w:p>
    <w:p>
      <w:pPr>
        <w:spacing w:line="360" w:lineRule="auto" w:before="0" w:after="0"/>
        <w:jc w:val="left"/>
      </w:pPr>
      <w:r>
        <w:rPr>
          <w:rFonts w:ascii="Times New Roman" w:hAnsi="Times New Roman" w:eastAsia="Times New Roman"/>
          <w:b w:val="0"/>
          <w:i w:val="0"/>
          <w:sz w:val="24"/>
        </w:rPr>
        <w:t xml:space="preserve">The pairwise correlations among the key variables are modest. The correlation between contemporaneous fund flow and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close to zero in the full sample, suggesting that the identifying variation is not driven mechanically by unconditional differences in flows between high- and low-AI funds. Fund size is weakly negatively associated with flows, and lagged flow is also mildly negatively related to current flow, consistent with short-run reversal after unusually large inflows or outflows. Overall, the descriptive evidence suggests that the regression results are unlikely to be dominated by simple unconditional correlations.</w:t>
      </w:r>
    </w:p>
    <w:p>
      <w:pPr>
        <w:spacing w:line="360" w:lineRule="auto" w:before="0" w:after="0"/>
        <w:jc w:val="left"/>
      </w:pPr>
      <w:r>
        <w:rPr>
          <w:rFonts w:ascii="Times New Roman" w:hAnsi="Times New Roman" w:eastAsia="Times New Roman"/>
          <w:b/>
          <w:i w:val="0"/>
          <w:sz w:val="24"/>
        </w:rPr>
        <w:t>4.2 Baseline Difference-in-Differences Results</w:t>
      </w:r>
    </w:p>
    <w:p>
      <w:pPr>
        <w:spacing w:line="360" w:lineRule="auto" w:before="0" w:after="0"/>
        <w:jc w:val="left"/>
      </w:pPr>
      <w:r>
        <w:rPr>
          <w:rFonts w:ascii="Times New Roman" w:hAnsi="Times New Roman" w:eastAsia="Times New Roman"/>
          <w:b w:val="0"/>
          <w:i w:val="0"/>
          <w:sz w:val="24"/>
        </w:rPr>
        <w:t xml:space="preserve">Table 2 reports the baseline DiD results. The coefficient of interest is the interaction between standardized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and the post-ChatGPT indicator. The final specification includes lagged fund size, lagged fund return, lagged fund flow, fund fixed effects, and time fixed effects, with standard errors clustered at the fund level.</w:t>
      </w:r>
    </w:p>
    <w:p>
      <w:pPr>
        <w:spacing w:line="360" w:lineRule="auto" w:before="0" w:after="0"/>
        <w:jc w:val="center"/>
      </w:pPr>
      <w:r>
        <w:rPr>
          <w:rFonts w:ascii="Times New Roman" w:hAnsi="Times New Roman" w:eastAsia="Times New Roman"/>
          <w:b w:val="0"/>
          <w:i/>
          <w:sz w:val="24"/>
        </w:rPr>
        <w:t>Flow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α + β(AIExposureZ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Post</w:t>
      </w:r>
      <w:r>
        <w:rPr>
          <w:rFonts w:ascii="Times New Roman" w:hAnsi="Times New Roman" w:eastAsia="Times New Roman"/>
          <w:b w:val="0"/>
          <w:i/>
          <w:sz w:val="24"/>
          <w:vertAlign w:val="subscript"/>
        </w:rPr>
        <w:t>t</w:t>
      </w:r>
      <w:r>
        <w:rPr>
          <w:rFonts w:ascii="Times New Roman" w:hAnsi="Times New Roman" w:eastAsia="Times New Roman"/>
          <w:b w:val="0"/>
          <w:i/>
          <w:sz w:val="24"/>
        </w:rPr>
        <w:t>) + γX</w:t>
      </w:r>
      <w:r>
        <w:rPr>
          <w:rFonts w:ascii="Times New Roman" w:hAnsi="Times New Roman" w:eastAsia="Times New Roman"/>
          <w:b w:val="0"/>
          <w:i/>
          <w:sz w:val="24"/>
          <w:vertAlign w:val="subscript"/>
        </w:rPr>
        <w:t>i,t-1</w:t>
      </w:r>
      <w:r>
        <w:rPr>
          <w:rFonts w:ascii="Times New Roman" w:hAnsi="Times New Roman" w:eastAsia="Times New Roman"/>
          <w:b w:val="0"/>
          <w:i/>
          <w:sz w:val="24"/>
        </w:rPr>
        <w:t xml:space="preserve"> + μ</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λ</w:t>
      </w:r>
      <w:r>
        <w:rPr>
          <w:rFonts w:ascii="Times New Roman" w:hAnsi="Times New Roman" w:eastAsia="Times New Roman"/>
          <w:b w:val="0"/>
          <w:i/>
          <w:sz w:val="24"/>
          <w:vertAlign w:val="subscript"/>
        </w:rPr>
        <w:t>t</w:t>
      </w:r>
      <w:r>
        <w:rPr>
          <w:rFonts w:ascii="Times New Roman" w:hAnsi="Times New Roman" w:eastAsia="Times New Roman"/>
          <w:b w:val="0"/>
          <w:i/>
          <w:sz w:val="24"/>
        </w:rPr>
        <w:t xml:space="preserve"> + ε</w:t>
      </w:r>
      <w:r>
        <w:rPr>
          <w:rFonts w:ascii="Times New Roman" w:hAnsi="Times New Roman" w:eastAsia="Times New Roman"/>
          <w:b w:val="0"/>
          <w:i/>
          <w:sz w:val="24"/>
          <w:vertAlign w:val="subscript"/>
        </w:rPr>
        <w:t>i,t</w:t>
      </w:r>
      <w:r>
        <w:rPr>
          <w:rFonts w:ascii="Times New Roman" w:hAnsi="Times New Roman" w:eastAsia="Times New Roman"/>
          <w:b w:val="0"/>
          <w:i w:val="0"/>
          <w:sz w:val="24"/>
        </w:rPr>
        <w:t xml:space="preserve">    （22）</w:t>
      </w:r>
    </w:p>
    <w:p>
      <w:pPr>
        <w:spacing w:line="360" w:lineRule="auto" w:before="120" w:after="60"/>
        <w:jc w:val="left"/>
      </w:pPr>
      <w:r>
        <w:rPr>
          <w:rFonts w:ascii="Times New Roman" w:hAnsi="Times New Roman" w:eastAsia="Times New Roman"/>
          <w:b/>
          <w:i w:val="0"/>
          <w:sz w:val="24"/>
        </w:rPr>
        <w:t>Table 2. Baseline DiD Regression Results</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61"/>
        <w:gridCol w:w="1661"/>
        <w:gridCol w:w="1661"/>
        <w:gridCol w:w="1661"/>
        <w:gridCol w:w="1661"/>
      </w:tblGrid>
      <w:tr>
        <w:tc>
          <w:tcPr>
            <w:tcW w:type="dxa" w:w="1944"/>
            <w:vAlign w:val="center"/>
          </w:tcPr>
          <w:p>
            <w:pPr>
              <w:spacing w:line="240" w:lineRule="auto"/>
              <w:jc w:val="center"/>
            </w:pPr>
            <w:r/>
            <w:r>
              <w:rPr>
                <w:rFonts w:ascii="Times New Roman" w:hAnsi="Times New Roman" w:eastAsia="Times New Roman"/>
                <w:b/>
                <w:i w:val="0"/>
                <w:sz w:val="17"/>
              </w:rPr>
            </w:r>
          </w:p>
        </w:tc>
        <w:tc>
          <w:tcPr>
            <w:tcW w:type="dxa" w:w="1584"/>
            <w:vAlign w:val="center"/>
          </w:tcPr>
          <w:p>
            <w:pPr>
              <w:spacing w:line="240" w:lineRule="auto"/>
              <w:jc w:val="center"/>
            </w:pPr>
            <w:r/>
            <w:r>
              <w:rPr>
                <w:rFonts w:ascii="Times New Roman" w:hAnsi="Times New Roman" w:eastAsia="Times New Roman"/>
                <w:b/>
                <w:i w:val="0"/>
                <w:sz w:val="17"/>
              </w:rPr>
              <w:t>(1)</w:t>
              <w:br/>
              <w:t>No controls</w:t>
            </w:r>
          </w:p>
        </w:tc>
        <w:tc>
          <w:tcPr>
            <w:tcW w:type="dxa" w:w="1584"/>
            <w:vAlign w:val="center"/>
          </w:tcPr>
          <w:p>
            <w:pPr>
              <w:spacing w:line="240" w:lineRule="auto"/>
              <w:jc w:val="center"/>
            </w:pPr>
            <w:r/>
            <w:r>
              <w:rPr>
                <w:rFonts w:ascii="Times New Roman" w:hAnsi="Times New Roman" w:eastAsia="Times New Roman"/>
                <w:b/>
                <w:i w:val="0"/>
                <w:sz w:val="17"/>
              </w:rPr>
              <w:t>(2)</w:t>
              <w:br/>
              <w:t>+ controls</w:t>
            </w:r>
          </w:p>
        </w:tc>
        <w:tc>
          <w:tcPr>
            <w:tcW w:type="dxa" w:w="1584"/>
            <w:vAlign w:val="center"/>
          </w:tcPr>
          <w:p>
            <w:pPr>
              <w:spacing w:line="240" w:lineRule="auto"/>
              <w:jc w:val="center"/>
            </w:pPr>
            <w:r/>
            <w:r>
              <w:rPr>
                <w:rFonts w:ascii="Times New Roman" w:hAnsi="Times New Roman" w:eastAsia="Times New Roman"/>
                <w:b/>
                <w:i w:val="0"/>
                <w:sz w:val="17"/>
              </w:rPr>
              <w:t>(3)</w:t>
              <w:br/>
              <w:t>+ fund FE</w:t>
            </w:r>
          </w:p>
        </w:tc>
        <w:tc>
          <w:tcPr>
            <w:tcW w:type="dxa" w:w="1800"/>
            <w:vAlign w:val="center"/>
          </w:tcPr>
          <w:p>
            <w:pPr>
              <w:spacing w:line="240" w:lineRule="auto"/>
              <w:jc w:val="center"/>
            </w:pPr>
            <w:r/>
            <w:r>
              <w:rPr>
                <w:rFonts w:ascii="Times New Roman" w:hAnsi="Times New Roman" w:eastAsia="Times New Roman"/>
                <w:b/>
                <w:i w:val="0"/>
                <w:sz w:val="17"/>
              </w:rPr>
              <w:t>(4)</w:t>
              <w:br/>
              <w:t>+ fund FE + time FE</w:t>
            </w:r>
          </w:p>
        </w:tc>
      </w:tr>
      <w:tr>
        <w:tc>
          <w:tcPr>
            <w:tcW w:type="dxa" w:w="1944"/>
            <w:vAlign w:val="center"/>
          </w:tcPr>
          <w:p>
            <w:pPr>
              <w:spacing w:line="240" w:lineRule="auto"/>
              <w:jc w:val="left"/>
            </w:pPr>
            <w:r/>
            <w:r>
              <w:rPr>
                <w:rFonts w:ascii="Times New Roman" w:hAnsi="Times New Roman" w:eastAsia="Times New Roman"/>
                <w:b w:val="0"/>
                <w:i w:val="0"/>
                <w:sz w:val="17"/>
              </w:rPr>
              <w:t>AIExposureZ x Post</w:t>
            </w:r>
          </w:p>
        </w:tc>
        <w:tc>
          <w:tcPr>
            <w:tcW w:type="dxa" w:w="1584"/>
            <w:vAlign w:val="center"/>
          </w:tcPr>
          <w:p>
            <w:pPr>
              <w:spacing w:line="240" w:lineRule="auto"/>
              <w:jc w:val="center"/>
            </w:pPr>
            <w:r/>
            <w:r>
              <w:rPr>
                <w:rFonts w:ascii="Times New Roman" w:hAnsi="Times New Roman" w:eastAsia="Times New Roman"/>
                <w:b w:val="0"/>
                <w:i w:val="0"/>
                <w:sz w:val="17"/>
              </w:rPr>
              <w:t>0.0020***</w:t>
              <w:br/>
              <w:t>(0.0006)</w:t>
            </w:r>
          </w:p>
        </w:tc>
        <w:tc>
          <w:tcPr>
            <w:tcW w:type="dxa" w:w="1584"/>
            <w:vAlign w:val="center"/>
          </w:tcPr>
          <w:p>
            <w:pPr>
              <w:spacing w:line="240" w:lineRule="auto"/>
              <w:jc w:val="center"/>
            </w:pPr>
            <w:r/>
            <w:r>
              <w:rPr>
                <w:rFonts w:ascii="Times New Roman" w:hAnsi="Times New Roman" w:eastAsia="Times New Roman"/>
                <w:b w:val="0"/>
                <w:i w:val="0"/>
                <w:sz w:val="17"/>
              </w:rPr>
              <w:t>0.0023***</w:t>
              <w:br/>
              <w:t>(0.0006)</w:t>
            </w:r>
          </w:p>
        </w:tc>
        <w:tc>
          <w:tcPr>
            <w:tcW w:type="dxa" w:w="1584"/>
            <w:vAlign w:val="center"/>
          </w:tcPr>
          <w:p>
            <w:pPr>
              <w:spacing w:line="240" w:lineRule="auto"/>
              <w:jc w:val="center"/>
            </w:pPr>
            <w:r/>
            <w:r>
              <w:rPr>
                <w:rFonts w:ascii="Times New Roman" w:hAnsi="Times New Roman" w:eastAsia="Times New Roman"/>
                <w:b w:val="0"/>
                <w:i w:val="0"/>
                <w:sz w:val="17"/>
              </w:rPr>
              <w:t>0.0054***</w:t>
              <w:br/>
              <w:t>(0.0009)</w:t>
            </w:r>
          </w:p>
        </w:tc>
        <w:tc>
          <w:tcPr>
            <w:tcW w:type="dxa" w:w="1800"/>
            <w:vAlign w:val="center"/>
          </w:tcPr>
          <w:p>
            <w:pPr>
              <w:spacing w:line="240" w:lineRule="auto"/>
              <w:jc w:val="center"/>
            </w:pPr>
            <w:r/>
            <w:r>
              <w:rPr>
                <w:rFonts w:ascii="Times New Roman" w:hAnsi="Times New Roman" w:eastAsia="Times New Roman"/>
                <w:b w:val="0"/>
                <w:i w:val="0"/>
                <w:sz w:val="17"/>
              </w:rPr>
              <w:t>0.0057***</w:t>
              <w:br/>
              <w:t>(0.0009)</w:t>
            </w:r>
          </w:p>
        </w:tc>
      </w:tr>
      <w:tr>
        <w:tc>
          <w:tcPr>
            <w:tcW w:type="dxa" w:w="1944"/>
            <w:vAlign w:val="center"/>
          </w:tcPr>
          <w:p>
            <w:pPr>
              <w:spacing w:line="240" w:lineRule="auto"/>
              <w:jc w:val="left"/>
            </w:pPr>
            <w:r/>
            <w:r>
              <w:rPr>
                <w:rFonts w:ascii="Times New Roman" w:hAnsi="Times New Roman" w:eastAsia="Times New Roman"/>
                <w:b w:val="0"/>
                <w:i w:val="0"/>
                <w:sz w:val="17"/>
              </w:rPr>
              <w:t>log_mtna_lag</w:t>
            </w:r>
          </w:p>
        </w:tc>
        <w:tc>
          <w:tcPr>
            <w:tcW w:type="dxa" w:w="1584"/>
            <w:vAlign w:val="center"/>
          </w:tcPr>
          <w:p>
            <w:pPr>
              <w:spacing w:line="240" w:lineRule="auto"/>
              <w:jc w:val="center"/>
            </w:pPr>
            <w:r/>
            <w:r>
              <w:rPr>
                <w:rFonts w:ascii="Times New Roman" w:hAnsi="Times New Roman" w:eastAsia="Times New Roman"/>
                <w:b w:val="0"/>
                <w:i w:val="0"/>
                <w:sz w:val="17"/>
              </w:rPr>
            </w:r>
          </w:p>
        </w:tc>
        <w:tc>
          <w:tcPr>
            <w:tcW w:type="dxa" w:w="1584"/>
            <w:vAlign w:val="center"/>
          </w:tcPr>
          <w:p>
            <w:pPr>
              <w:spacing w:line="240" w:lineRule="auto"/>
              <w:jc w:val="center"/>
            </w:pPr>
            <w:r/>
            <w:r>
              <w:rPr>
                <w:rFonts w:ascii="Times New Roman" w:hAnsi="Times New Roman" w:eastAsia="Times New Roman"/>
                <w:b w:val="0"/>
                <w:i w:val="0"/>
                <w:sz w:val="17"/>
              </w:rPr>
              <w:t>-0.0013***</w:t>
              <w:br/>
              <w:t>(0.0002)</w:t>
            </w:r>
          </w:p>
        </w:tc>
        <w:tc>
          <w:tcPr>
            <w:tcW w:type="dxa" w:w="1584"/>
            <w:vAlign w:val="center"/>
          </w:tcPr>
          <w:p>
            <w:pPr>
              <w:spacing w:line="240" w:lineRule="auto"/>
              <w:jc w:val="center"/>
            </w:pPr>
            <w:r/>
            <w:r>
              <w:rPr>
                <w:rFonts w:ascii="Times New Roman" w:hAnsi="Times New Roman" w:eastAsia="Times New Roman"/>
                <w:b w:val="0"/>
                <w:i w:val="0"/>
                <w:sz w:val="17"/>
              </w:rPr>
              <w:t>-0.0303***</w:t>
              <w:br/>
              <w:t>(0.0023)</w:t>
            </w:r>
          </w:p>
        </w:tc>
        <w:tc>
          <w:tcPr>
            <w:tcW w:type="dxa" w:w="1800"/>
            <w:vAlign w:val="center"/>
          </w:tcPr>
          <w:p>
            <w:pPr>
              <w:spacing w:line="240" w:lineRule="auto"/>
              <w:jc w:val="center"/>
            </w:pPr>
            <w:r/>
            <w:r>
              <w:rPr>
                <w:rFonts w:ascii="Times New Roman" w:hAnsi="Times New Roman" w:eastAsia="Times New Roman"/>
                <w:b w:val="0"/>
                <w:i w:val="0"/>
                <w:sz w:val="17"/>
              </w:rPr>
              <w:t>-0.0319***</w:t>
              <w:br/>
              <w:t>(0.0025)</w:t>
            </w:r>
          </w:p>
        </w:tc>
      </w:tr>
      <w:tr>
        <w:tc>
          <w:tcPr>
            <w:tcW w:type="dxa" w:w="1944"/>
            <w:vAlign w:val="center"/>
          </w:tcPr>
          <w:p>
            <w:pPr>
              <w:spacing w:line="240" w:lineRule="auto"/>
              <w:jc w:val="left"/>
            </w:pPr>
            <w:r/>
            <w:r>
              <w:rPr>
                <w:rFonts w:ascii="Times New Roman" w:hAnsi="Times New Roman" w:eastAsia="Times New Roman"/>
                <w:b w:val="0"/>
                <w:i w:val="0"/>
                <w:sz w:val="17"/>
              </w:rPr>
              <w:t>mret_lag</w:t>
            </w:r>
          </w:p>
        </w:tc>
        <w:tc>
          <w:tcPr>
            <w:tcW w:type="dxa" w:w="1584"/>
            <w:vAlign w:val="center"/>
          </w:tcPr>
          <w:p>
            <w:pPr>
              <w:spacing w:line="240" w:lineRule="auto"/>
              <w:jc w:val="center"/>
            </w:pPr>
            <w:r/>
            <w:r>
              <w:rPr>
                <w:rFonts w:ascii="Times New Roman" w:hAnsi="Times New Roman" w:eastAsia="Times New Roman"/>
                <w:b w:val="0"/>
                <w:i w:val="0"/>
                <w:sz w:val="17"/>
              </w:rPr>
            </w:r>
          </w:p>
        </w:tc>
        <w:tc>
          <w:tcPr>
            <w:tcW w:type="dxa" w:w="1584"/>
            <w:vAlign w:val="center"/>
          </w:tcPr>
          <w:p>
            <w:pPr>
              <w:spacing w:line="240" w:lineRule="auto"/>
              <w:jc w:val="center"/>
            </w:pPr>
            <w:r/>
            <w:r>
              <w:rPr>
                <w:rFonts w:ascii="Times New Roman" w:hAnsi="Times New Roman" w:eastAsia="Times New Roman"/>
                <w:b w:val="0"/>
                <w:i w:val="0"/>
                <w:sz w:val="17"/>
              </w:rPr>
              <w:t>0.0369***</w:t>
              <w:br/>
              <w:t>(0.0090)</w:t>
            </w:r>
          </w:p>
        </w:tc>
        <w:tc>
          <w:tcPr>
            <w:tcW w:type="dxa" w:w="1584"/>
            <w:vAlign w:val="center"/>
          </w:tcPr>
          <w:p>
            <w:pPr>
              <w:spacing w:line="240" w:lineRule="auto"/>
              <w:jc w:val="center"/>
            </w:pPr>
            <w:r/>
            <w:r>
              <w:rPr>
                <w:rFonts w:ascii="Times New Roman" w:hAnsi="Times New Roman" w:eastAsia="Times New Roman"/>
                <w:b w:val="0"/>
                <w:i w:val="0"/>
                <w:sz w:val="17"/>
              </w:rPr>
              <w:t>0.0486***</w:t>
              <w:br/>
              <w:t>(0.0090)</w:t>
            </w:r>
          </w:p>
        </w:tc>
        <w:tc>
          <w:tcPr>
            <w:tcW w:type="dxa" w:w="1800"/>
            <w:vAlign w:val="center"/>
          </w:tcPr>
          <w:p>
            <w:pPr>
              <w:spacing w:line="240" w:lineRule="auto"/>
              <w:jc w:val="center"/>
            </w:pPr>
            <w:r/>
            <w:r>
              <w:rPr>
                <w:rFonts w:ascii="Times New Roman" w:hAnsi="Times New Roman" w:eastAsia="Times New Roman"/>
                <w:b w:val="0"/>
                <w:i w:val="0"/>
                <w:sz w:val="17"/>
              </w:rPr>
              <w:t>0.1369***</w:t>
              <w:br/>
              <w:t>(0.0213)</w:t>
            </w:r>
          </w:p>
        </w:tc>
      </w:tr>
      <w:tr>
        <w:tc>
          <w:tcPr>
            <w:tcW w:type="dxa" w:w="1944"/>
            <w:vAlign w:val="center"/>
          </w:tcPr>
          <w:p>
            <w:pPr>
              <w:spacing w:line="240" w:lineRule="auto"/>
              <w:jc w:val="left"/>
            </w:pPr>
            <w:r/>
            <w:r>
              <w:rPr>
                <w:rFonts w:ascii="Times New Roman" w:hAnsi="Times New Roman" w:eastAsia="Times New Roman"/>
                <w:b w:val="0"/>
                <w:i w:val="0"/>
                <w:sz w:val="17"/>
              </w:rPr>
              <w:t>flow_lag</w:t>
            </w:r>
          </w:p>
        </w:tc>
        <w:tc>
          <w:tcPr>
            <w:tcW w:type="dxa" w:w="1584"/>
            <w:vAlign w:val="center"/>
          </w:tcPr>
          <w:p>
            <w:pPr>
              <w:spacing w:line="240" w:lineRule="auto"/>
              <w:jc w:val="center"/>
            </w:pPr>
            <w:r/>
            <w:r>
              <w:rPr>
                <w:rFonts w:ascii="Times New Roman" w:hAnsi="Times New Roman" w:eastAsia="Times New Roman"/>
                <w:b w:val="0"/>
                <w:i w:val="0"/>
                <w:sz w:val="17"/>
              </w:rPr>
            </w:r>
          </w:p>
        </w:tc>
        <w:tc>
          <w:tcPr>
            <w:tcW w:type="dxa" w:w="1584"/>
            <w:vAlign w:val="center"/>
          </w:tcPr>
          <w:p>
            <w:pPr>
              <w:spacing w:line="240" w:lineRule="auto"/>
              <w:jc w:val="center"/>
            </w:pPr>
            <w:r/>
            <w:r>
              <w:rPr>
                <w:rFonts w:ascii="Times New Roman" w:hAnsi="Times New Roman" w:eastAsia="Times New Roman"/>
                <w:b w:val="0"/>
                <w:i w:val="0"/>
                <w:sz w:val="17"/>
              </w:rPr>
              <w:t>-0.0799***</w:t>
              <w:br/>
              <w:t>(0.0140)</w:t>
            </w:r>
          </w:p>
        </w:tc>
        <w:tc>
          <w:tcPr>
            <w:tcW w:type="dxa" w:w="1584"/>
            <w:vAlign w:val="center"/>
          </w:tcPr>
          <w:p>
            <w:pPr>
              <w:spacing w:line="240" w:lineRule="auto"/>
              <w:jc w:val="center"/>
            </w:pPr>
            <w:r/>
            <w:r>
              <w:rPr>
                <w:rFonts w:ascii="Times New Roman" w:hAnsi="Times New Roman" w:eastAsia="Times New Roman"/>
                <w:b w:val="0"/>
                <w:i w:val="0"/>
                <w:sz w:val="17"/>
              </w:rPr>
              <w:t>-0.0903***</w:t>
              <w:br/>
              <w:t>(0.0132)</w:t>
            </w:r>
          </w:p>
        </w:tc>
        <w:tc>
          <w:tcPr>
            <w:tcW w:type="dxa" w:w="1800"/>
            <w:vAlign w:val="center"/>
          </w:tcPr>
          <w:p>
            <w:pPr>
              <w:spacing w:line="240" w:lineRule="auto"/>
              <w:jc w:val="center"/>
            </w:pPr>
            <w:r/>
            <w:r>
              <w:rPr>
                <w:rFonts w:ascii="Times New Roman" w:hAnsi="Times New Roman" w:eastAsia="Times New Roman"/>
                <w:b w:val="0"/>
                <w:i w:val="0"/>
                <w:sz w:val="17"/>
              </w:rPr>
              <w:t>-0.0923***</w:t>
              <w:br/>
              <w:t>(0.0132)</w:t>
            </w:r>
          </w:p>
        </w:tc>
      </w:tr>
      <w:tr>
        <w:tc>
          <w:tcPr>
            <w:tcW w:type="dxa" w:w="1944"/>
            <w:vAlign w:val="center"/>
          </w:tcPr>
          <w:p>
            <w:pPr>
              <w:spacing w:line="240" w:lineRule="auto"/>
              <w:jc w:val="left"/>
            </w:pPr>
            <w:r/>
            <w:r>
              <w:rPr>
                <w:rFonts w:ascii="Times New Roman" w:hAnsi="Times New Roman" w:eastAsia="Times New Roman"/>
                <w:b w:val="0"/>
                <w:i w:val="0"/>
                <w:sz w:val="17"/>
              </w:rPr>
              <w:t>Fund FE</w:t>
            </w:r>
          </w:p>
        </w:tc>
        <w:tc>
          <w:tcPr>
            <w:tcW w:type="dxa" w:w="1584"/>
            <w:vAlign w:val="center"/>
          </w:tcPr>
          <w:p>
            <w:pPr>
              <w:spacing w:line="240" w:lineRule="auto"/>
              <w:jc w:val="center"/>
            </w:pPr>
            <w:r/>
            <w:r>
              <w:rPr>
                <w:rFonts w:ascii="Times New Roman" w:hAnsi="Times New Roman" w:eastAsia="Times New Roman"/>
                <w:b w:val="0"/>
                <w:i w:val="0"/>
                <w:sz w:val="17"/>
              </w:rPr>
              <w:t>No</w:t>
            </w:r>
          </w:p>
        </w:tc>
        <w:tc>
          <w:tcPr>
            <w:tcW w:type="dxa" w:w="1584"/>
            <w:vAlign w:val="center"/>
          </w:tcPr>
          <w:p>
            <w:pPr>
              <w:spacing w:line="240" w:lineRule="auto"/>
              <w:jc w:val="center"/>
            </w:pPr>
            <w:r/>
            <w:r>
              <w:rPr>
                <w:rFonts w:ascii="Times New Roman" w:hAnsi="Times New Roman" w:eastAsia="Times New Roman"/>
                <w:b w:val="0"/>
                <w:i w:val="0"/>
                <w:sz w:val="17"/>
              </w:rPr>
              <w:t>No</w:t>
            </w:r>
          </w:p>
        </w:tc>
        <w:tc>
          <w:tcPr>
            <w:tcW w:type="dxa" w:w="1584"/>
            <w:vAlign w:val="center"/>
          </w:tcPr>
          <w:p>
            <w:pPr>
              <w:spacing w:line="240" w:lineRule="auto"/>
              <w:jc w:val="center"/>
            </w:pPr>
            <w:r/>
            <w:r>
              <w:rPr>
                <w:rFonts w:ascii="Times New Roman" w:hAnsi="Times New Roman" w:eastAsia="Times New Roman"/>
                <w:b w:val="0"/>
                <w:i w:val="0"/>
                <w:sz w:val="17"/>
              </w:rPr>
              <w:t>Yes</w:t>
            </w:r>
          </w:p>
        </w:tc>
        <w:tc>
          <w:tcPr>
            <w:tcW w:type="dxa" w:w="1800"/>
            <w:vAlign w:val="center"/>
          </w:tcPr>
          <w:p>
            <w:pPr>
              <w:spacing w:line="240" w:lineRule="auto"/>
              <w:jc w:val="center"/>
            </w:pPr>
            <w:r/>
            <w:r>
              <w:rPr>
                <w:rFonts w:ascii="Times New Roman" w:hAnsi="Times New Roman" w:eastAsia="Times New Roman"/>
                <w:b w:val="0"/>
                <w:i w:val="0"/>
                <w:sz w:val="17"/>
              </w:rPr>
              <w:t>Yes</w:t>
            </w:r>
          </w:p>
        </w:tc>
      </w:tr>
      <w:tr>
        <w:tc>
          <w:tcPr>
            <w:tcW w:type="dxa" w:w="1944"/>
            <w:vAlign w:val="center"/>
          </w:tcPr>
          <w:p>
            <w:pPr>
              <w:spacing w:line="240" w:lineRule="auto"/>
              <w:jc w:val="left"/>
            </w:pPr>
            <w:r/>
            <w:r>
              <w:rPr>
                <w:rFonts w:ascii="Times New Roman" w:hAnsi="Times New Roman" w:eastAsia="Times New Roman"/>
                <w:b w:val="0"/>
                <w:i w:val="0"/>
                <w:sz w:val="17"/>
              </w:rPr>
              <w:t>Time FE</w:t>
            </w:r>
          </w:p>
        </w:tc>
        <w:tc>
          <w:tcPr>
            <w:tcW w:type="dxa" w:w="1584"/>
            <w:vAlign w:val="center"/>
          </w:tcPr>
          <w:p>
            <w:pPr>
              <w:spacing w:line="240" w:lineRule="auto"/>
              <w:jc w:val="center"/>
            </w:pPr>
            <w:r/>
            <w:r>
              <w:rPr>
                <w:rFonts w:ascii="Times New Roman" w:hAnsi="Times New Roman" w:eastAsia="Times New Roman"/>
                <w:b w:val="0"/>
                <w:i w:val="0"/>
                <w:sz w:val="17"/>
              </w:rPr>
              <w:t>No</w:t>
            </w:r>
          </w:p>
        </w:tc>
        <w:tc>
          <w:tcPr>
            <w:tcW w:type="dxa" w:w="1584"/>
            <w:vAlign w:val="center"/>
          </w:tcPr>
          <w:p>
            <w:pPr>
              <w:spacing w:line="240" w:lineRule="auto"/>
              <w:jc w:val="center"/>
            </w:pPr>
            <w:r/>
            <w:r>
              <w:rPr>
                <w:rFonts w:ascii="Times New Roman" w:hAnsi="Times New Roman" w:eastAsia="Times New Roman"/>
                <w:b w:val="0"/>
                <w:i w:val="0"/>
                <w:sz w:val="17"/>
              </w:rPr>
              <w:t>No</w:t>
            </w:r>
          </w:p>
        </w:tc>
        <w:tc>
          <w:tcPr>
            <w:tcW w:type="dxa" w:w="1584"/>
            <w:vAlign w:val="center"/>
          </w:tcPr>
          <w:p>
            <w:pPr>
              <w:spacing w:line="240" w:lineRule="auto"/>
              <w:jc w:val="center"/>
            </w:pPr>
            <w:r/>
            <w:r>
              <w:rPr>
                <w:rFonts w:ascii="Times New Roman" w:hAnsi="Times New Roman" w:eastAsia="Times New Roman"/>
                <w:b w:val="0"/>
                <w:i w:val="0"/>
                <w:sz w:val="17"/>
              </w:rPr>
              <w:t>No</w:t>
            </w:r>
          </w:p>
        </w:tc>
        <w:tc>
          <w:tcPr>
            <w:tcW w:type="dxa" w:w="1800"/>
            <w:vAlign w:val="center"/>
          </w:tcPr>
          <w:p>
            <w:pPr>
              <w:spacing w:line="240" w:lineRule="auto"/>
              <w:jc w:val="center"/>
            </w:pPr>
            <w:r/>
            <w:r>
              <w:rPr>
                <w:rFonts w:ascii="Times New Roman" w:hAnsi="Times New Roman" w:eastAsia="Times New Roman"/>
                <w:b w:val="0"/>
                <w:i w:val="0"/>
                <w:sz w:val="17"/>
              </w:rPr>
              <w:t>Yes</w:t>
            </w:r>
          </w:p>
        </w:tc>
      </w:tr>
      <w:tr>
        <w:tc>
          <w:tcPr>
            <w:tcW w:type="dxa" w:w="1944"/>
            <w:vAlign w:val="center"/>
          </w:tcPr>
          <w:p>
            <w:pPr>
              <w:spacing w:line="240" w:lineRule="auto"/>
              <w:jc w:val="left"/>
            </w:pPr>
            <w:r/>
            <w:r>
              <w:rPr>
                <w:rFonts w:ascii="Times New Roman" w:hAnsi="Times New Roman" w:eastAsia="Times New Roman"/>
                <w:b w:val="0"/>
                <w:i w:val="0"/>
                <w:sz w:val="17"/>
              </w:rPr>
              <w:t>Observations</w:t>
            </w:r>
          </w:p>
        </w:tc>
        <w:tc>
          <w:tcPr>
            <w:tcW w:type="dxa" w:w="1584"/>
            <w:vAlign w:val="center"/>
          </w:tcPr>
          <w:p>
            <w:pPr>
              <w:spacing w:line="240" w:lineRule="auto"/>
              <w:jc w:val="center"/>
            </w:pPr>
            <w:r/>
            <w:r>
              <w:rPr>
                <w:rFonts w:ascii="Times New Roman" w:hAnsi="Times New Roman" w:eastAsia="Times New Roman"/>
                <w:b w:val="0"/>
                <w:i w:val="0"/>
                <w:sz w:val="17"/>
              </w:rPr>
              <w:t>82,531</w:t>
            </w:r>
          </w:p>
        </w:tc>
        <w:tc>
          <w:tcPr>
            <w:tcW w:type="dxa" w:w="1584"/>
            <w:vAlign w:val="center"/>
          </w:tcPr>
          <w:p>
            <w:pPr>
              <w:spacing w:line="240" w:lineRule="auto"/>
              <w:jc w:val="center"/>
            </w:pPr>
            <w:r/>
            <w:r>
              <w:rPr>
                <w:rFonts w:ascii="Times New Roman" w:hAnsi="Times New Roman" w:eastAsia="Times New Roman"/>
                <w:b w:val="0"/>
                <w:i w:val="0"/>
                <w:sz w:val="17"/>
              </w:rPr>
              <w:t>81,262</w:t>
            </w:r>
          </w:p>
        </w:tc>
        <w:tc>
          <w:tcPr>
            <w:tcW w:type="dxa" w:w="1584"/>
            <w:vAlign w:val="center"/>
          </w:tcPr>
          <w:p>
            <w:pPr>
              <w:spacing w:line="240" w:lineRule="auto"/>
              <w:jc w:val="center"/>
            </w:pPr>
            <w:r/>
            <w:r>
              <w:rPr>
                <w:rFonts w:ascii="Times New Roman" w:hAnsi="Times New Roman" w:eastAsia="Times New Roman"/>
                <w:b w:val="0"/>
                <w:i w:val="0"/>
                <w:sz w:val="17"/>
              </w:rPr>
              <w:t>81,262</w:t>
            </w:r>
          </w:p>
        </w:tc>
        <w:tc>
          <w:tcPr>
            <w:tcW w:type="dxa" w:w="1800"/>
            <w:vAlign w:val="center"/>
          </w:tcPr>
          <w:p>
            <w:pPr>
              <w:spacing w:line="240" w:lineRule="auto"/>
              <w:jc w:val="center"/>
            </w:pPr>
            <w:r/>
            <w:r>
              <w:rPr>
                <w:rFonts w:ascii="Times New Roman" w:hAnsi="Times New Roman" w:eastAsia="Times New Roman"/>
                <w:b w:val="0"/>
                <w:i w:val="0"/>
                <w:sz w:val="17"/>
              </w:rPr>
              <w:t>81,262</w:t>
            </w:r>
          </w:p>
        </w:tc>
      </w:tr>
      <w:tr>
        <w:tc>
          <w:tcPr>
            <w:tcW w:type="dxa" w:w="1944"/>
            <w:vAlign w:val="center"/>
          </w:tcPr>
          <w:p>
            <w:pPr>
              <w:spacing w:line="240" w:lineRule="auto"/>
              <w:jc w:val="left"/>
            </w:pPr>
            <w:r/>
            <w:r>
              <w:rPr>
                <w:rFonts w:ascii="Times New Roman" w:hAnsi="Times New Roman" w:eastAsia="Times New Roman"/>
                <w:b w:val="0"/>
                <w:i w:val="0"/>
                <w:sz w:val="17"/>
              </w:rPr>
              <w:t>R-squared</w:t>
            </w:r>
          </w:p>
        </w:tc>
        <w:tc>
          <w:tcPr>
            <w:tcW w:type="dxa" w:w="1584"/>
            <w:vAlign w:val="center"/>
          </w:tcPr>
          <w:p>
            <w:pPr>
              <w:spacing w:line="240" w:lineRule="auto"/>
              <w:jc w:val="center"/>
            </w:pPr>
            <w:r/>
            <w:r>
              <w:rPr>
                <w:rFonts w:ascii="Times New Roman" w:hAnsi="Times New Roman" w:eastAsia="Times New Roman"/>
                <w:b w:val="0"/>
                <w:i w:val="0"/>
                <w:sz w:val="17"/>
              </w:rPr>
              <w:t>0.0002</w:t>
            </w:r>
          </w:p>
        </w:tc>
        <w:tc>
          <w:tcPr>
            <w:tcW w:type="dxa" w:w="1584"/>
            <w:vAlign w:val="center"/>
          </w:tcPr>
          <w:p>
            <w:pPr>
              <w:spacing w:line="240" w:lineRule="auto"/>
              <w:jc w:val="center"/>
            </w:pPr>
            <w:r/>
            <w:r>
              <w:rPr>
                <w:rFonts w:ascii="Times New Roman" w:hAnsi="Times New Roman" w:eastAsia="Times New Roman"/>
                <w:b w:val="0"/>
                <w:i w:val="0"/>
                <w:sz w:val="17"/>
              </w:rPr>
              <w:t>0.0081</w:t>
            </w:r>
          </w:p>
        </w:tc>
        <w:tc>
          <w:tcPr>
            <w:tcW w:type="dxa" w:w="1584"/>
            <w:vAlign w:val="center"/>
          </w:tcPr>
          <w:p>
            <w:pPr>
              <w:spacing w:line="240" w:lineRule="auto"/>
              <w:jc w:val="center"/>
            </w:pPr>
            <w:r/>
            <w:r>
              <w:rPr>
                <w:rFonts w:ascii="Times New Roman" w:hAnsi="Times New Roman" w:eastAsia="Times New Roman"/>
                <w:b w:val="0"/>
                <w:i w:val="0"/>
                <w:sz w:val="17"/>
              </w:rPr>
              <w:t>0.0341</w:t>
            </w:r>
          </w:p>
        </w:tc>
        <w:tc>
          <w:tcPr>
            <w:tcW w:type="dxa" w:w="1800"/>
            <w:vAlign w:val="center"/>
          </w:tcPr>
          <w:p>
            <w:pPr>
              <w:spacing w:line="240" w:lineRule="auto"/>
              <w:jc w:val="center"/>
            </w:pPr>
            <w:r/>
            <w:r>
              <w:rPr>
                <w:rFonts w:ascii="Times New Roman" w:hAnsi="Times New Roman" w:eastAsia="Times New Roman"/>
                <w:b w:val="0"/>
                <w:i w:val="0"/>
                <w:sz w:val="17"/>
              </w:rPr>
              <w:t>0.0371</w:t>
            </w:r>
          </w:p>
        </w:tc>
      </w:tr>
    </w:tbl>
    <w:p>
      <w:pPr>
        <w:spacing w:line="240" w:lineRule="auto" w:before="0" w:after="120"/>
        <w:jc w:val="left"/>
      </w:pPr>
      <w:r>
        <w:rPr>
          <w:rFonts w:ascii="Times New Roman" w:hAnsi="Times New Roman" w:eastAsia="Times New Roman"/>
          <w:b w:val="0"/>
          <w:i/>
          <w:sz w:val="20"/>
        </w:rPr>
        <w:t>Notes: The dependent variable is flow_w. Standard errors clustered at the fund level are reported in parentheses. *, **, and *** denote significance at the 10%, 5%, and 1% levels.</w:t>
      </w:r>
    </w:p>
    <w:p>
      <w:pPr>
        <w:spacing w:line="360" w:lineRule="auto" w:before="0" w:after="0"/>
        <w:jc w:val="left"/>
      </w:pPr>
      <w:r>
        <w:rPr>
          <w:rFonts w:ascii="Times New Roman" w:hAnsi="Times New Roman" w:eastAsia="Times New Roman"/>
          <w:b w:val="0"/>
          <w:i w:val="0"/>
          <w:sz w:val="24"/>
        </w:rPr>
        <w:t xml:space="preserve">The coefficient on </w:t>
      </w:r>
      <w:r>
        <w:rPr>
          <w:rFonts w:ascii="Times New Roman" w:hAnsi="Times New Roman" w:eastAsia="Times New Roman"/>
          <w:b/>
          <w:i w:val="0"/>
          <w:sz w:val="24"/>
        </w:rPr>
        <w:t>AIExposureZ x Post</w:t>
      </w:r>
      <w:r>
        <w:rPr>
          <w:rFonts w:ascii="Times New Roman" w:hAnsi="Times New Roman" w:eastAsia="Times New Roman"/>
          <w:b w:val="0"/>
          <w:i w:val="0"/>
          <w:sz w:val="24"/>
        </w:rPr>
        <w:t xml:space="preserve"> is positive and statistically significant across specifications. In the preferred two-way fixed-effects model in column (4), the coefficient is 0.0057, with a clustered standard error of 0.0009. Economically, a one-standard-deviation increase in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associated with approximately 0.57 percentage points higher monthly fund inflows after the ChatGPT release. Given that average monthly flow is close to zero, this effect is economically meaningful.</w:t>
      </w:r>
    </w:p>
    <w:p>
      <w:pPr>
        <w:spacing w:line="360" w:lineRule="auto" w:before="0" w:after="0"/>
        <w:jc w:val="left"/>
      </w:pPr>
      <w:r>
        <w:rPr>
          <w:rFonts w:ascii="Times New Roman" w:hAnsi="Times New Roman" w:eastAsia="Times New Roman"/>
          <w:b w:val="0"/>
          <w:i w:val="0"/>
          <w:sz w:val="24"/>
        </w:rPr>
        <w:t>The result is consistent with the investor-attention channel developed in the previous chapters. Funds that already held more AI-related firms before ChatGPT experienced stronger post-shock inflows, suggesting that investors reallocated capital toward funds perceived as better positioned to benefit from technological optimism. The evidence supports H1: mutual funds with higher AI-related asset exposure experienced significantly greater investor inflows after the release of ChatGPT.</w:t>
      </w:r>
    </w:p>
    <w:p>
      <w:pPr>
        <w:spacing w:line="360" w:lineRule="auto" w:before="0" w:after="0"/>
        <w:jc w:val="left"/>
      </w:pPr>
      <w:r>
        <w:rPr>
          <w:rFonts w:ascii="Times New Roman" w:hAnsi="Times New Roman" w:eastAsia="Times New Roman"/>
          <w:b/>
          <w:i w:val="0"/>
          <w:sz w:val="24"/>
        </w:rPr>
        <w:t>4.3 Event Study Analysis</w:t>
      </w:r>
    </w:p>
    <w:p>
      <w:pPr>
        <w:spacing w:line="360" w:lineRule="auto" w:before="0" w:after="0"/>
        <w:jc w:val="left"/>
      </w:pPr>
      <w:r>
        <w:rPr>
          <w:rFonts w:ascii="Times New Roman" w:hAnsi="Times New Roman" w:eastAsia="Times New Roman"/>
          <w:b w:val="0"/>
          <w:i w:val="0"/>
          <w:sz w:val="24"/>
        </w:rPr>
        <w:t>The baseline DiD estimates capture the average post-shock effect. To examine whether the response emerges around the ChatGPT event and to assess the plausibility of the parallel-trend assumption, Figure 2 reports event-study estimates from month -12 to month +24, omitting month -1 as the reference period.</w:t>
      </w:r>
    </w:p>
    <w:p>
      <w:pPr>
        <w:spacing w:line="360" w:lineRule="auto" w:before="0" w:after="0"/>
        <w:jc w:val="center"/>
      </w:pPr>
      <w:r>
        <w:rPr>
          <w:rFonts w:ascii="Times New Roman" w:hAnsi="Times New Roman" w:eastAsia="Times New Roman"/>
          <w:b w:val="0"/>
          <w:i/>
          <w:sz w:val="24"/>
        </w:rPr>
        <w:t>Flow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α + ∑</w:t>
      </w:r>
      <w:r>
        <w:rPr>
          <w:rFonts w:ascii="Times New Roman" w:hAnsi="Times New Roman" w:eastAsia="Times New Roman"/>
          <w:b w:val="0"/>
          <w:i/>
          <w:sz w:val="24"/>
          <w:vertAlign w:val="subscript"/>
        </w:rPr>
        <w:t>k=-12,k≠-1</w:t>
      </w:r>
      <w:r>
        <w:rPr>
          <w:rFonts w:ascii="Times New Roman" w:hAnsi="Times New Roman" w:eastAsia="Times New Roman"/>
          <w:b w:val="0"/>
          <w:i/>
          <w:sz w:val="24"/>
          <w:vertAlign w:val="superscript"/>
        </w:rPr>
        <w:t>24</w:t>
      </w:r>
      <w:r>
        <w:rPr>
          <w:rFonts w:ascii="Times New Roman" w:hAnsi="Times New Roman" w:eastAsia="Times New Roman"/>
          <w:b w:val="0"/>
          <w:i/>
          <w:sz w:val="24"/>
        </w:rPr>
        <w:t>β</w:t>
      </w:r>
      <w:r>
        <w:rPr>
          <w:rFonts w:ascii="Times New Roman" w:hAnsi="Times New Roman" w:eastAsia="Times New Roman"/>
          <w:b w:val="0"/>
          <w:i/>
          <w:sz w:val="24"/>
          <w:vertAlign w:val="subscript"/>
        </w:rPr>
        <w:t>k</w:t>
      </w:r>
      <w:r>
        <w:rPr>
          <w:rFonts w:ascii="Times New Roman" w:hAnsi="Times New Roman" w:eastAsia="Times New Roman"/>
          <w:b w:val="0"/>
          <w:i/>
          <w:sz w:val="24"/>
        </w:rPr>
        <w:t>(AIExposureZ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EventTime</w:t>
      </w:r>
      <w:r>
        <w:rPr>
          <w:rFonts w:ascii="Times New Roman" w:hAnsi="Times New Roman" w:eastAsia="Times New Roman"/>
          <w:b w:val="0"/>
          <w:i/>
          <w:sz w:val="24"/>
          <w:vertAlign w:val="subscript"/>
        </w:rPr>
        <w:t>k,t</w:t>
      </w:r>
      <w:r>
        <w:rPr>
          <w:rFonts w:ascii="Times New Roman" w:hAnsi="Times New Roman" w:eastAsia="Times New Roman"/>
          <w:b w:val="0"/>
          <w:i/>
          <w:sz w:val="24"/>
        </w:rPr>
        <w:t>) + μ</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λ</w:t>
      </w:r>
      <w:r>
        <w:rPr>
          <w:rFonts w:ascii="Times New Roman" w:hAnsi="Times New Roman" w:eastAsia="Times New Roman"/>
          <w:b w:val="0"/>
          <w:i/>
          <w:sz w:val="24"/>
          <w:vertAlign w:val="subscript"/>
        </w:rPr>
        <w:t>t</w:t>
      </w:r>
      <w:r>
        <w:rPr>
          <w:rFonts w:ascii="Times New Roman" w:hAnsi="Times New Roman" w:eastAsia="Times New Roman"/>
          <w:b w:val="0"/>
          <w:i/>
          <w:sz w:val="24"/>
        </w:rPr>
        <w:t xml:space="preserve"> + ε</w:t>
      </w:r>
      <w:r>
        <w:rPr>
          <w:rFonts w:ascii="Times New Roman" w:hAnsi="Times New Roman" w:eastAsia="Times New Roman"/>
          <w:b w:val="0"/>
          <w:i/>
          <w:sz w:val="24"/>
          <w:vertAlign w:val="subscript"/>
        </w:rPr>
        <w:t>i,t</w:t>
      </w:r>
      <w:r>
        <w:rPr>
          <w:rFonts w:ascii="Times New Roman" w:hAnsi="Times New Roman" w:eastAsia="Times New Roman"/>
          <w:b w:val="0"/>
          <w:i w:val="0"/>
          <w:sz w:val="24"/>
        </w:rPr>
        <w:t xml:space="preserve">    （23）</w:t>
      </w:r>
    </w:p>
    <w:p>
      <w:pPr>
        <w:spacing w:line="360" w:lineRule="auto" w:before="120" w:after="60"/>
        <w:jc w:val="left"/>
      </w:pPr>
      <w:r>
        <w:rPr>
          <w:rFonts w:ascii="Times New Roman" w:hAnsi="Times New Roman" w:eastAsia="Times New Roman"/>
          <w:b/>
          <w:i w:val="0"/>
          <w:sz w:val="24"/>
        </w:rPr>
        <w:t>Figure 2. Event Study Estimates</w:t>
      </w:r>
    </w:p>
    <w:p>
      <w:pPr>
        <w:spacing w:line="240" w:lineRule="auto" w:before="0" w:after="0"/>
        <w:jc w:val="center"/>
      </w:pPr>
      <w:r>
        <w:drawing>
          <wp:inline xmlns:a="http://schemas.openxmlformats.org/drawingml/2006/main" xmlns:pic="http://schemas.openxmlformats.org/drawingml/2006/picture">
            <wp:extent cx="5303520" cy="3315458"/>
            <wp:docPr id="3" name="Picture 3"/>
            <wp:cNvGraphicFramePr>
              <a:graphicFrameLocks noChangeAspect="1"/>
            </wp:cNvGraphicFramePr>
            <a:graphic>
              <a:graphicData uri="http://schemas.openxmlformats.org/drawingml/2006/picture">
                <pic:pic>
                  <pic:nvPicPr>
                    <pic:cNvPr id="0" name="H1_H2_cell71_out0.png"/>
                    <pic:cNvPicPr/>
                  </pic:nvPicPr>
                  <pic:blipFill>
                    <a:blip r:embed="rId8"/>
                    <a:stretch>
                      <a:fillRect/>
                    </a:stretch>
                  </pic:blipFill>
                  <pic:spPr>
                    <a:xfrm>
                      <a:off x="0" y="0"/>
                      <a:ext cx="5303520" cy="3315458"/>
                    </a:xfrm>
                    <a:prstGeom prst="rect"/>
                  </pic:spPr>
                </pic:pic>
              </a:graphicData>
            </a:graphic>
          </wp:inline>
        </w:drawing>
      </w:r>
    </w:p>
    <w:p>
      <w:pPr>
        <w:spacing w:line="360" w:lineRule="auto" w:before="0" w:after="0"/>
        <w:jc w:val="left"/>
      </w:pPr>
      <w:r>
        <w:rPr>
          <w:rFonts w:ascii="Times New Roman" w:hAnsi="Times New Roman" w:eastAsia="Times New Roman"/>
          <w:b w:val="0"/>
          <w:i w:val="0"/>
          <w:sz w:val="24"/>
        </w:rPr>
        <w:t>Figure 2 shows that most pre-treatment coefficients are statistically indistinguishable from zero. Although one isolated pre-treatment coefficient is statistically significant, the overall pre-treatment pattern remains relatively stable and does not display a monotonic upward trend before the ChatGPT release. This evidence is broadly consistent with the parallel-trend assumption, while also suggesting that causal interpretation should be made with appropriate caution.</w:t>
      </w:r>
    </w:p>
    <w:p>
      <w:pPr>
        <w:spacing w:line="360" w:lineRule="auto" w:before="0" w:after="0"/>
        <w:jc w:val="left"/>
      </w:pPr>
      <w:r>
        <w:rPr>
          <w:rFonts w:ascii="Times New Roman" w:hAnsi="Times New Roman" w:eastAsia="Times New Roman"/>
          <w:b w:val="0"/>
          <w:i w:val="0"/>
          <w:sz w:val="24"/>
        </w:rPr>
        <w:t>The post-treatment estimates are noisier than the baseline average effect. Several coefficients turn positive after the event, especially around the event month and selected later months, but most confidence intervals include zero. This pattern suggests that the capital-flow response is not a single sharp one-month spike; rather, the average DiD effect in Table 2 summarizes a diffuse post-shock reallocation process. The event-study evidence therefore supports the timing of the attention channel in a balanced way: there is no strong evidence of systematic pre-trending, but the dynamic month-by-month estimates are less precise than the pooled post-period estimate.</w:t>
      </w:r>
    </w:p>
    <w:p>
      <w:pPr>
        <w:spacing w:line="360" w:lineRule="auto" w:before="0" w:after="0"/>
        <w:jc w:val="left"/>
      </w:pPr>
      <w:r>
        <w:rPr>
          <w:rFonts w:ascii="Times New Roman" w:hAnsi="Times New Roman" w:eastAsia="Times New Roman"/>
          <w:b/>
          <w:i w:val="0"/>
          <w:sz w:val="24"/>
        </w:rPr>
        <w:t>4.4 Heterogeneity Analysis</w:t>
      </w:r>
    </w:p>
    <w:p>
      <w:pPr>
        <w:spacing w:line="360" w:lineRule="auto" w:before="0" w:after="0"/>
        <w:jc w:val="left"/>
      </w:pPr>
      <w:r>
        <w:rPr>
          <w:rFonts w:ascii="Times New Roman" w:hAnsi="Times New Roman" w:eastAsia="Times New Roman"/>
          <w:b w:val="0"/>
          <w:i w:val="0"/>
          <w:sz w:val="24"/>
        </w:rPr>
        <w:t xml:space="preserve">This section tests whether the investor response to </w:t>
      </w:r>
      <w:r>
        <w:rPr>
          <w:rFonts w:ascii="Times New Roman" w:hAnsi="Times New Roman" w:eastAsia="Times New Roman"/>
          <w:b/>
          <w:i w:val="0"/>
          <w:sz w:val="24"/>
        </w:rPr>
        <w:t>AI exposure</w:t>
      </w:r>
      <w:r>
        <w:rPr>
          <w:rFonts w:ascii="Times New Roman" w:hAnsi="Times New Roman" w:eastAsia="Times New Roman"/>
          <w:b w:val="0"/>
          <w:i w:val="0"/>
          <w:sz w:val="24"/>
        </w:rPr>
        <w:t xml:space="preserve"> depends on prior fund performance. </w:t>
      </w:r>
      <w:r>
        <w:rPr>
          <w:rFonts w:ascii="Times New Roman" w:hAnsi="Times New Roman" w:eastAsia="Times New Roman"/>
          <w:b/>
          <w:i w:val="0"/>
          <w:sz w:val="24"/>
        </w:rPr>
        <w:t>GoodFund</w:t>
      </w:r>
      <w:r>
        <w:rPr>
          <w:rFonts w:ascii="Times New Roman" w:hAnsi="Times New Roman" w:eastAsia="Times New Roman"/>
          <w:b w:val="0"/>
          <w:i w:val="0"/>
          <w:sz w:val="24"/>
        </w:rPr>
        <w:t xml:space="preserve"> is defined as an indicator equal to one for funds with pre-shock Fama-French </w:t>
      </w:r>
      <w:r>
        <w:rPr>
          <w:rFonts w:ascii="Times New Roman" w:hAnsi="Times New Roman" w:eastAsia="Times New Roman"/>
          <w:b/>
          <w:i w:val="0"/>
          <w:sz w:val="24"/>
        </w:rPr>
        <w:t>alpha</w:t>
      </w:r>
      <w:r>
        <w:rPr>
          <w:rFonts w:ascii="Times New Roman" w:hAnsi="Times New Roman" w:eastAsia="Times New Roman"/>
          <w:b w:val="0"/>
          <w:i w:val="0"/>
          <w:sz w:val="24"/>
        </w:rPr>
        <w:t xml:space="preserve"> above the sample median. The median prior </w:t>
      </w:r>
      <w:r>
        <w:rPr>
          <w:rFonts w:ascii="Times New Roman" w:hAnsi="Times New Roman" w:eastAsia="Times New Roman"/>
          <w:b/>
          <w:i w:val="0"/>
          <w:sz w:val="24"/>
        </w:rPr>
        <w:t>alpha</w:t>
      </w:r>
      <w:r>
        <w:rPr>
          <w:rFonts w:ascii="Times New Roman" w:hAnsi="Times New Roman" w:eastAsia="Times New Roman"/>
          <w:b w:val="0"/>
          <w:i w:val="0"/>
          <w:sz w:val="24"/>
        </w:rPr>
        <w:t xml:space="preserve"> is -0.002811. The regression includes the interaction between </w:t>
      </w:r>
      <w:r>
        <w:rPr>
          <w:rFonts w:ascii="Times New Roman" w:hAnsi="Times New Roman" w:eastAsia="Times New Roman"/>
          <w:b/>
          <w:i w:val="0"/>
          <w:sz w:val="24"/>
        </w:rPr>
        <w:t>AIExposureZ</w:t>
      </w:r>
      <w:r>
        <w:rPr>
          <w:rFonts w:ascii="Times New Roman" w:hAnsi="Times New Roman" w:eastAsia="Times New Roman"/>
          <w:b w:val="0"/>
          <w:i w:val="0"/>
          <w:sz w:val="24"/>
        </w:rPr>
        <w:t xml:space="preserve">, </w:t>
      </w:r>
      <w:r>
        <w:rPr>
          <w:rFonts w:ascii="Times New Roman" w:hAnsi="Times New Roman" w:eastAsia="Times New Roman"/>
          <w:b/>
          <w:i w:val="0"/>
          <w:sz w:val="24"/>
        </w:rPr>
        <w:t>Post</w:t>
      </w:r>
      <w:r>
        <w:rPr>
          <w:rFonts w:ascii="Times New Roman" w:hAnsi="Times New Roman" w:eastAsia="Times New Roman"/>
          <w:b w:val="0"/>
          <w:i w:val="0"/>
          <w:sz w:val="24"/>
        </w:rPr>
        <w:t xml:space="preserve">, and </w:t>
      </w:r>
      <w:r>
        <w:rPr>
          <w:rFonts w:ascii="Times New Roman" w:hAnsi="Times New Roman" w:eastAsia="Times New Roman"/>
          <w:b/>
          <w:i w:val="0"/>
          <w:sz w:val="24"/>
        </w:rPr>
        <w:t>GoodFund</w:t>
      </w:r>
      <w:r>
        <w:rPr>
          <w:rFonts w:ascii="Times New Roman" w:hAnsi="Times New Roman" w:eastAsia="Times New Roman"/>
          <w:b w:val="0"/>
          <w:i w:val="0"/>
          <w:sz w:val="24"/>
        </w:rPr>
        <w:t>, along with the baseline controls and two-way fixed effects.</w:t>
      </w:r>
    </w:p>
    <w:p>
      <w:pPr>
        <w:spacing w:line="360" w:lineRule="auto" w:before="0" w:after="0"/>
        <w:jc w:val="center"/>
      </w:pPr>
      <w:r>
        <w:rPr>
          <w:rFonts w:ascii="Times New Roman" w:hAnsi="Times New Roman" w:eastAsia="Times New Roman"/>
          <w:b w:val="0"/>
          <w:i/>
          <w:sz w:val="24"/>
        </w:rPr>
        <w:t>Flow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β</w:t>
      </w:r>
      <w:r>
        <w:rPr>
          <w:rFonts w:ascii="Times New Roman" w:hAnsi="Times New Roman" w:eastAsia="Times New Roman"/>
          <w:b w:val="0"/>
          <w:i/>
          <w:sz w:val="24"/>
          <w:vertAlign w:val="subscript"/>
        </w:rPr>
        <w:t>1</w:t>
      </w:r>
      <w:r>
        <w:rPr>
          <w:rFonts w:ascii="Times New Roman" w:hAnsi="Times New Roman" w:eastAsia="Times New Roman"/>
          <w:b w:val="0"/>
          <w:i/>
          <w:sz w:val="24"/>
        </w:rPr>
        <w:t>(AIExposureZ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Post</w:t>
      </w:r>
      <w:r>
        <w:rPr>
          <w:rFonts w:ascii="Times New Roman" w:hAnsi="Times New Roman" w:eastAsia="Times New Roman"/>
          <w:b w:val="0"/>
          <w:i/>
          <w:sz w:val="24"/>
          <w:vertAlign w:val="subscript"/>
        </w:rPr>
        <w:t>t</w:t>
      </w:r>
      <w:r>
        <w:rPr>
          <w:rFonts w:ascii="Times New Roman" w:hAnsi="Times New Roman" w:eastAsia="Times New Roman"/>
          <w:b w:val="0"/>
          <w:i/>
          <w:sz w:val="24"/>
        </w:rPr>
        <w:t>) + β</w:t>
      </w:r>
      <w:r>
        <w:rPr>
          <w:rFonts w:ascii="Times New Roman" w:hAnsi="Times New Roman" w:eastAsia="Times New Roman"/>
          <w:b w:val="0"/>
          <w:i/>
          <w:sz w:val="24"/>
          <w:vertAlign w:val="subscript"/>
        </w:rPr>
        <w:t>2</w:t>
      </w:r>
      <w:r>
        <w:rPr>
          <w:rFonts w:ascii="Times New Roman" w:hAnsi="Times New Roman" w:eastAsia="Times New Roman"/>
          <w:b w:val="0"/>
          <w:i/>
          <w:sz w:val="24"/>
        </w:rPr>
        <w:t>(Post</w:t>
      </w:r>
      <w:r>
        <w:rPr>
          <w:rFonts w:ascii="Times New Roman" w:hAnsi="Times New Roman" w:eastAsia="Times New Roman"/>
          <w:b w:val="0"/>
          <w:i/>
          <w:sz w:val="24"/>
          <w:vertAlign w:val="subscript"/>
        </w:rPr>
        <w:t>t</w:t>
      </w:r>
      <w:r>
        <w:rPr>
          <w:rFonts w:ascii="Times New Roman" w:hAnsi="Times New Roman" w:eastAsia="Times New Roman"/>
          <w:b w:val="0"/>
          <w:i/>
          <w:sz w:val="24"/>
        </w:rPr>
        <w:t xml:space="preserve"> × GoodFund</w:t>
      </w:r>
      <w:r>
        <w:rPr>
          <w:rFonts w:ascii="Times New Roman" w:hAnsi="Times New Roman" w:eastAsia="Times New Roman"/>
          <w:b w:val="0"/>
          <w:i/>
          <w:sz w:val="24"/>
          <w:vertAlign w:val="subscript"/>
        </w:rPr>
        <w:t>i</w:t>
      </w:r>
      <w:r>
        <w:rPr>
          <w:rFonts w:ascii="Times New Roman" w:hAnsi="Times New Roman" w:eastAsia="Times New Roman"/>
          <w:b w:val="0"/>
          <w:i/>
          <w:sz w:val="24"/>
        </w:rPr>
        <w:t>) + β</w:t>
      </w:r>
      <w:r>
        <w:rPr>
          <w:rFonts w:ascii="Times New Roman" w:hAnsi="Times New Roman" w:eastAsia="Times New Roman"/>
          <w:b w:val="0"/>
          <w:i/>
          <w:sz w:val="24"/>
          <w:vertAlign w:val="subscript"/>
        </w:rPr>
        <w:t>3</w:t>
      </w:r>
      <w:r>
        <w:rPr>
          <w:rFonts w:ascii="Times New Roman" w:hAnsi="Times New Roman" w:eastAsia="Times New Roman"/>
          <w:b w:val="0"/>
          <w:i/>
          <w:sz w:val="24"/>
        </w:rPr>
        <w:t>(AIExposureZ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Post</w:t>
      </w:r>
      <w:r>
        <w:rPr>
          <w:rFonts w:ascii="Times New Roman" w:hAnsi="Times New Roman" w:eastAsia="Times New Roman"/>
          <w:b w:val="0"/>
          <w:i/>
          <w:sz w:val="24"/>
          <w:vertAlign w:val="subscript"/>
        </w:rPr>
        <w:t>t</w:t>
      </w:r>
      <w:r>
        <w:rPr>
          <w:rFonts w:ascii="Times New Roman" w:hAnsi="Times New Roman" w:eastAsia="Times New Roman"/>
          <w:b w:val="0"/>
          <w:i/>
          <w:sz w:val="24"/>
        </w:rPr>
        <w:t xml:space="preserve"> × GoodFund</w:t>
      </w:r>
      <w:r>
        <w:rPr>
          <w:rFonts w:ascii="Times New Roman" w:hAnsi="Times New Roman" w:eastAsia="Times New Roman"/>
          <w:b w:val="0"/>
          <w:i/>
          <w:sz w:val="24"/>
          <w:vertAlign w:val="subscript"/>
        </w:rPr>
        <w:t>i</w:t>
      </w:r>
      <w:r>
        <w:rPr>
          <w:rFonts w:ascii="Times New Roman" w:hAnsi="Times New Roman" w:eastAsia="Times New Roman"/>
          <w:b w:val="0"/>
          <w:i/>
          <w:sz w:val="24"/>
        </w:rPr>
        <w:t>) + γX</w:t>
      </w:r>
      <w:r>
        <w:rPr>
          <w:rFonts w:ascii="Times New Roman" w:hAnsi="Times New Roman" w:eastAsia="Times New Roman"/>
          <w:b w:val="0"/>
          <w:i/>
          <w:sz w:val="24"/>
          <w:vertAlign w:val="subscript"/>
        </w:rPr>
        <w:t>i,t-1</w:t>
      </w:r>
      <w:r>
        <w:rPr>
          <w:rFonts w:ascii="Times New Roman" w:hAnsi="Times New Roman" w:eastAsia="Times New Roman"/>
          <w:b w:val="0"/>
          <w:i/>
          <w:sz w:val="24"/>
        </w:rPr>
        <w:t xml:space="preserve"> + μ</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λ</w:t>
      </w:r>
      <w:r>
        <w:rPr>
          <w:rFonts w:ascii="Times New Roman" w:hAnsi="Times New Roman" w:eastAsia="Times New Roman"/>
          <w:b w:val="0"/>
          <w:i/>
          <w:sz w:val="24"/>
          <w:vertAlign w:val="subscript"/>
        </w:rPr>
        <w:t>t</w:t>
      </w:r>
      <w:r>
        <w:rPr>
          <w:rFonts w:ascii="Times New Roman" w:hAnsi="Times New Roman" w:eastAsia="Times New Roman"/>
          <w:b w:val="0"/>
          <w:i/>
          <w:sz w:val="24"/>
        </w:rPr>
        <w:t xml:space="preserve"> + ε</w:t>
      </w:r>
      <w:r>
        <w:rPr>
          <w:rFonts w:ascii="Times New Roman" w:hAnsi="Times New Roman" w:eastAsia="Times New Roman"/>
          <w:b w:val="0"/>
          <w:i/>
          <w:sz w:val="24"/>
          <w:vertAlign w:val="subscript"/>
        </w:rPr>
        <w:t>i,t</w:t>
      </w:r>
      <w:r>
        <w:rPr>
          <w:rFonts w:ascii="Times New Roman" w:hAnsi="Times New Roman" w:eastAsia="Times New Roman"/>
          <w:b w:val="0"/>
          <w:i w:val="0"/>
          <w:sz w:val="24"/>
        </w:rPr>
        <w:t xml:space="preserve">    （24）</w:t>
      </w:r>
    </w:p>
    <w:p>
      <w:pPr>
        <w:spacing w:line="360" w:lineRule="auto" w:before="120" w:after="60"/>
        <w:jc w:val="left"/>
      </w:pPr>
      <w:r>
        <w:rPr>
          <w:rFonts w:ascii="Times New Roman" w:hAnsi="Times New Roman" w:eastAsia="Times New Roman"/>
          <w:b/>
          <w:i w:val="0"/>
          <w:sz w:val="24"/>
        </w:rPr>
        <w:t>Table 3. Heterogeneity by Prior Performance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153"/>
        <w:gridCol w:w="4153"/>
      </w:tblGrid>
      <w:tr>
        <w:tc>
          <w:tcPr>
            <w:tcW w:type="dxa" w:w="3888"/>
            <w:vAlign w:val="center"/>
          </w:tcPr>
          <w:p>
            <w:pPr>
              <w:spacing w:line="240" w:lineRule="auto"/>
              <w:jc w:val="center"/>
            </w:pPr>
            <w:r/>
            <w:r>
              <w:rPr>
                <w:rFonts w:ascii="Times New Roman" w:hAnsi="Times New Roman" w:eastAsia="Times New Roman"/>
                <w:b/>
                <w:i w:val="0"/>
                <w:sz w:val="18"/>
              </w:rPr>
            </w:r>
          </w:p>
        </w:tc>
        <w:tc>
          <w:tcPr>
            <w:tcW w:type="dxa" w:w="2304"/>
            <w:vAlign w:val="center"/>
          </w:tcPr>
          <w:p>
            <w:pPr>
              <w:spacing w:line="240" w:lineRule="auto"/>
              <w:jc w:val="center"/>
            </w:pPr>
            <w:r/>
            <w:r>
              <w:rPr>
                <w:rFonts w:ascii="Times New Roman" w:hAnsi="Times New Roman" w:eastAsia="Times New Roman"/>
                <w:b/>
                <w:i w:val="0"/>
                <w:sz w:val="18"/>
              </w:rPr>
              <w:t>flow_w</w:t>
            </w:r>
          </w:p>
        </w:tc>
      </w:tr>
      <w:tr>
        <w:tc>
          <w:tcPr>
            <w:tcW w:type="dxa" w:w="3888"/>
            <w:vAlign w:val="center"/>
          </w:tcPr>
          <w:p>
            <w:pPr>
              <w:spacing w:line="240" w:lineRule="auto"/>
              <w:jc w:val="left"/>
            </w:pPr>
            <w:r/>
            <w:r>
              <w:rPr>
                <w:rFonts w:ascii="Times New Roman" w:hAnsi="Times New Roman" w:eastAsia="Times New Roman"/>
                <w:b w:val="0"/>
                <w:i w:val="0"/>
                <w:sz w:val="18"/>
              </w:rPr>
              <w:t>AIExposureZ x Post</w:t>
            </w:r>
          </w:p>
        </w:tc>
        <w:tc>
          <w:tcPr>
            <w:tcW w:type="dxa" w:w="2304"/>
            <w:vAlign w:val="center"/>
          </w:tcPr>
          <w:p>
            <w:pPr>
              <w:spacing w:line="240" w:lineRule="auto"/>
              <w:jc w:val="center"/>
            </w:pPr>
            <w:r/>
            <w:r>
              <w:rPr>
                <w:rFonts w:ascii="Times New Roman" w:hAnsi="Times New Roman" w:eastAsia="Times New Roman"/>
                <w:b w:val="0"/>
                <w:i w:val="0"/>
                <w:sz w:val="18"/>
              </w:rPr>
              <w:t>0.0023*</w:t>
              <w:br/>
              <w:t>(0.0013)</w:t>
            </w:r>
          </w:p>
        </w:tc>
      </w:tr>
      <w:tr>
        <w:tc>
          <w:tcPr>
            <w:tcW w:type="dxa" w:w="3888"/>
            <w:vAlign w:val="center"/>
          </w:tcPr>
          <w:p>
            <w:pPr>
              <w:spacing w:line="240" w:lineRule="auto"/>
              <w:jc w:val="left"/>
            </w:pPr>
            <w:r/>
            <w:r>
              <w:rPr>
                <w:rFonts w:ascii="Times New Roman" w:hAnsi="Times New Roman" w:eastAsia="Times New Roman"/>
                <w:b w:val="0"/>
                <w:i w:val="0"/>
                <w:sz w:val="18"/>
              </w:rPr>
              <w:t>Post x GoodFund</w:t>
            </w:r>
          </w:p>
        </w:tc>
        <w:tc>
          <w:tcPr>
            <w:tcW w:type="dxa" w:w="2304"/>
            <w:vAlign w:val="center"/>
          </w:tcPr>
          <w:p>
            <w:pPr>
              <w:spacing w:line="240" w:lineRule="auto"/>
              <w:jc w:val="center"/>
            </w:pPr>
            <w:r/>
            <w:r>
              <w:rPr>
                <w:rFonts w:ascii="Times New Roman" w:hAnsi="Times New Roman" w:eastAsia="Times New Roman"/>
                <w:b w:val="0"/>
                <w:i w:val="0"/>
                <w:sz w:val="18"/>
              </w:rPr>
              <w:t>0.0053*</w:t>
              <w:br/>
              <w:t>(0.0028)</w:t>
            </w:r>
          </w:p>
        </w:tc>
      </w:tr>
      <w:tr>
        <w:tc>
          <w:tcPr>
            <w:tcW w:type="dxa" w:w="3888"/>
            <w:vAlign w:val="center"/>
          </w:tcPr>
          <w:p>
            <w:pPr>
              <w:spacing w:line="240" w:lineRule="auto"/>
              <w:jc w:val="left"/>
            </w:pPr>
            <w:r/>
            <w:r>
              <w:rPr>
                <w:rFonts w:ascii="Times New Roman" w:hAnsi="Times New Roman" w:eastAsia="Times New Roman"/>
                <w:b w:val="0"/>
                <w:i w:val="0"/>
                <w:sz w:val="18"/>
              </w:rPr>
              <w:t>AIExposureZ x Post x GoodFund</w:t>
            </w:r>
          </w:p>
        </w:tc>
        <w:tc>
          <w:tcPr>
            <w:tcW w:type="dxa" w:w="2304"/>
            <w:vAlign w:val="center"/>
          </w:tcPr>
          <w:p>
            <w:pPr>
              <w:spacing w:line="240" w:lineRule="auto"/>
              <w:jc w:val="center"/>
            </w:pPr>
            <w:r/>
            <w:r>
              <w:rPr>
                <w:rFonts w:ascii="Times New Roman" w:hAnsi="Times New Roman" w:eastAsia="Times New Roman"/>
                <w:b w:val="0"/>
                <w:i w:val="0"/>
                <w:sz w:val="18"/>
              </w:rPr>
              <w:t>0.0064**</w:t>
              <w:br/>
              <w:t>(0.0028)</w:t>
            </w:r>
          </w:p>
        </w:tc>
      </w:tr>
      <w:tr>
        <w:tc>
          <w:tcPr>
            <w:tcW w:type="dxa" w:w="3888"/>
            <w:vAlign w:val="center"/>
          </w:tcPr>
          <w:p>
            <w:pPr>
              <w:spacing w:line="240" w:lineRule="auto"/>
              <w:jc w:val="left"/>
            </w:pPr>
            <w:r/>
            <w:r>
              <w:rPr>
                <w:rFonts w:ascii="Times New Roman" w:hAnsi="Times New Roman" w:eastAsia="Times New Roman"/>
                <w:b w:val="0"/>
                <w:i w:val="0"/>
                <w:sz w:val="18"/>
              </w:rPr>
              <w:t>log_mtna_lag</w:t>
            </w:r>
          </w:p>
        </w:tc>
        <w:tc>
          <w:tcPr>
            <w:tcW w:type="dxa" w:w="2304"/>
            <w:vAlign w:val="center"/>
          </w:tcPr>
          <w:p>
            <w:pPr>
              <w:spacing w:line="240" w:lineRule="auto"/>
              <w:jc w:val="center"/>
            </w:pPr>
            <w:r/>
            <w:r>
              <w:rPr>
                <w:rFonts w:ascii="Times New Roman" w:hAnsi="Times New Roman" w:eastAsia="Times New Roman"/>
                <w:b w:val="0"/>
                <w:i w:val="0"/>
                <w:sz w:val="18"/>
              </w:rPr>
              <w:t>-0.0323***</w:t>
              <w:br/>
              <w:t>(0.0026)</w:t>
            </w:r>
          </w:p>
        </w:tc>
      </w:tr>
      <w:tr>
        <w:tc>
          <w:tcPr>
            <w:tcW w:type="dxa" w:w="3888"/>
            <w:vAlign w:val="center"/>
          </w:tcPr>
          <w:p>
            <w:pPr>
              <w:spacing w:line="240" w:lineRule="auto"/>
              <w:jc w:val="left"/>
            </w:pPr>
            <w:r/>
            <w:r>
              <w:rPr>
                <w:rFonts w:ascii="Times New Roman" w:hAnsi="Times New Roman" w:eastAsia="Times New Roman"/>
                <w:b w:val="0"/>
                <w:i w:val="0"/>
                <w:sz w:val="18"/>
              </w:rPr>
              <w:t>mret_lag</w:t>
            </w:r>
          </w:p>
        </w:tc>
        <w:tc>
          <w:tcPr>
            <w:tcW w:type="dxa" w:w="2304"/>
            <w:vAlign w:val="center"/>
          </w:tcPr>
          <w:p>
            <w:pPr>
              <w:spacing w:line="240" w:lineRule="auto"/>
              <w:jc w:val="center"/>
            </w:pPr>
            <w:r/>
            <w:r>
              <w:rPr>
                <w:rFonts w:ascii="Times New Roman" w:hAnsi="Times New Roman" w:eastAsia="Times New Roman"/>
                <w:b w:val="0"/>
                <w:i w:val="0"/>
                <w:sz w:val="18"/>
              </w:rPr>
              <w:t>0.1373***</w:t>
              <w:br/>
              <w:t>(0.0214)</w:t>
            </w:r>
          </w:p>
        </w:tc>
      </w:tr>
      <w:tr>
        <w:tc>
          <w:tcPr>
            <w:tcW w:type="dxa" w:w="3888"/>
            <w:vAlign w:val="center"/>
          </w:tcPr>
          <w:p>
            <w:pPr>
              <w:spacing w:line="240" w:lineRule="auto"/>
              <w:jc w:val="left"/>
            </w:pPr>
            <w:r/>
            <w:r>
              <w:rPr>
                <w:rFonts w:ascii="Times New Roman" w:hAnsi="Times New Roman" w:eastAsia="Times New Roman"/>
                <w:b w:val="0"/>
                <w:i w:val="0"/>
                <w:sz w:val="18"/>
              </w:rPr>
              <w:t>flow_lag</w:t>
            </w:r>
          </w:p>
        </w:tc>
        <w:tc>
          <w:tcPr>
            <w:tcW w:type="dxa" w:w="2304"/>
            <w:vAlign w:val="center"/>
          </w:tcPr>
          <w:p>
            <w:pPr>
              <w:spacing w:line="240" w:lineRule="auto"/>
              <w:jc w:val="center"/>
            </w:pPr>
            <w:r/>
            <w:r>
              <w:rPr>
                <w:rFonts w:ascii="Times New Roman" w:hAnsi="Times New Roman" w:eastAsia="Times New Roman"/>
                <w:b w:val="0"/>
                <w:i w:val="0"/>
                <w:sz w:val="18"/>
              </w:rPr>
              <w:t>-0.0937***</w:t>
              <w:br/>
              <w:t>(0.0133)</w:t>
            </w:r>
          </w:p>
        </w:tc>
      </w:tr>
      <w:tr>
        <w:tc>
          <w:tcPr>
            <w:tcW w:type="dxa" w:w="3888"/>
            <w:vAlign w:val="center"/>
          </w:tcPr>
          <w:p>
            <w:pPr>
              <w:spacing w:line="240" w:lineRule="auto"/>
              <w:jc w:val="left"/>
            </w:pPr>
            <w:r/>
            <w:r>
              <w:rPr>
                <w:rFonts w:ascii="Times New Roman" w:hAnsi="Times New Roman" w:eastAsia="Times New Roman"/>
                <w:b w:val="0"/>
                <w:i w:val="0"/>
                <w:sz w:val="18"/>
              </w:rPr>
              <w:t>Fund FE</w:t>
            </w:r>
          </w:p>
        </w:tc>
        <w:tc>
          <w:tcPr>
            <w:tcW w:type="dxa" w:w="2304"/>
            <w:vAlign w:val="center"/>
          </w:tcPr>
          <w:p>
            <w:pPr>
              <w:spacing w:line="240" w:lineRule="auto"/>
              <w:jc w:val="center"/>
            </w:pPr>
            <w:r/>
            <w:r>
              <w:rPr>
                <w:rFonts w:ascii="Times New Roman" w:hAnsi="Times New Roman" w:eastAsia="Times New Roman"/>
                <w:b w:val="0"/>
                <w:i w:val="0"/>
                <w:sz w:val="18"/>
              </w:rPr>
              <w:t>Yes</w:t>
            </w:r>
          </w:p>
        </w:tc>
      </w:tr>
      <w:tr>
        <w:tc>
          <w:tcPr>
            <w:tcW w:type="dxa" w:w="3888"/>
            <w:vAlign w:val="center"/>
          </w:tcPr>
          <w:p>
            <w:pPr>
              <w:spacing w:line="240" w:lineRule="auto"/>
              <w:jc w:val="left"/>
            </w:pPr>
            <w:r/>
            <w:r>
              <w:rPr>
                <w:rFonts w:ascii="Times New Roman" w:hAnsi="Times New Roman" w:eastAsia="Times New Roman"/>
                <w:b w:val="0"/>
                <w:i w:val="0"/>
                <w:sz w:val="18"/>
              </w:rPr>
              <w:t>Time FE</w:t>
            </w:r>
          </w:p>
        </w:tc>
        <w:tc>
          <w:tcPr>
            <w:tcW w:type="dxa" w:w="2304"/>
            <w:vAlign w:val="center"/>
          </w:tcPr>
          <w:p>
            <w:pPr>
              <w:spacing w:line="240" w:lineRule="auto"/>
              <w:jc w:val="center"/>
            </w:pPr>
            <w:r/>
            <w:r>
              <w:rPr>
                <w:rFonts w:ascii="Times New Roman" w:hAnsi="Times New Roman" w:eastAsia="Times New Roman"/>
                <w:b w:val="0"/>
                <w:i w:val="0"/>
                <w:sz w:val="18"/>
              </w:rPr>
              <w:t>Yes</w:t>
            </w:r>
          </w:p>
        </w:tc>
      </w:tr>
      <w:tr>
        <w:tc>
          <w:tcPr>
            <w:tcW w:type="dxa" w:w="3888"/>
            <w:vAlign w:val="center"/>
          </w:tcPr>
          <w:p>
            <w:pPr>
              <w:spacing w:line="240" w:lineRule="auto"/>
              <w:jc w:val="left"/>
            </w:pPr>
            <w:r/>
            <w:r>
              <w:rPr>
                <w:rFonts w:ascii="Times New Roman" w:hAnsi="Times New Roman" w:eastAsia="Times New Roman"/>
                <w:b w:val="0"/>
                <w:i w:val="0"/>
                <w:sz w:val="18"/>
              </w:rPr>
              <w:t>Observations</w:t>
            </w:r>
          </w:p>
        </w:tc>
        <w:tc>
          <w:tcPr>
            <w:tcW w:type="dxa" w:w="2304"/>
            <w:vAlign w:val="center"/>
          </w:tcPr>
          <w:p>
            <w:pPr>
              <w:spacing w:line="240" w:lineRule="auto"/>
              <w:jc w:val="center"/>
            </w:pPr>
            <w:r/>
            <w:r>
              <w:rPr>
                <w:rFonts w:ascii="Times New Roman" w:hAnsi="Times New Roman" w:eastAsia="Times New Roman"/>
                <w:b w:val="0"/>
                <w:i w:val="0"/>
                <w:sz w:val="18"/>
              </w:rPr>
              <w:t>80,492</w:t>
            </w:r>
          </w:p>
        </w:tc>
      </w:tr>
      <w:tr>
        <w:tc>
          <w:tcPr>
            <w:tcW w:type="dxa" w:w="3888"/>
            <w:vAlign w:val="center"/>
          </w:tcPr>
          <w:p>
            <w:pPr>
              <w:spacing w:line="240" w:lineRule="auto"/>
              <w:jc w:val="left"/>
            </w:pPr>
            <w:r/>
            <w:r>
              <w:rPr>
                <w:rFonts w:ascii="Times New Roman" w:hAnsi="Times New Roman" w:eastAsia="Times New Roman"/>
                <w:b w:val="0"/>
                <w:i w:val="0"/>
                <w:sz w:val="18"/>
              </w:rPr>
              <w:t>R-squared</w:t>
            </w:r>
          </w:p>
        </w:tc>
        <w:tc>
          <w:tcPr>
            <w:tcW w:type="dxa" w:w="2304"/>
            <w:vAlign w:val="center"/>
          </w:tcPr>
          <w:p>
            <w:pPr>
              <w:spacing w:line="240" w:lineRule="auto"/>
              <w:jc w:val="center"/>
            </w:pPr>
            <w:r/>
            <w:r>
              <w:rPr>
                <w:rFonts w:ascii="Times New Roman" w:hAnsi="Times New Roman" w:eastAsia="Times New Roman"/>
                <w:b w:val="0"/>
                <w:i w:val="0"/>
                <w:sz w:val="18"/>
              </w:rPr>
              <w:t>0.0367</w:t>
            </w:r>
          </w:p>
        </w:tc>
      </w:tr>
    </w:tbl>
    <w:p>
      <w:pPr>
        <w:spacing w:line="240" w:lineRule="auto" w:before="0" w:after="120"/>
        <w:jc w:val="left"/>
      </w:pPr>
      <w:r>
        <w:rPr>
          <w:rFonts w:ascii="Times New Roman" w:hAnsi="Times New Roman" w:eastAsia="Times New Roman"/>
          <w:b w:val="0"/>
          <w:i/>
          <w:sz w:val="20"/>
        </w:rPr>
        <w:t>Notes: GoodFund equals one for funds with prior alpha above the median. Standard errors clustered at the fund level are in parentheses.</w:t>
      </w:r>
    </w:p>
    <w:p>
      <w:pPr>
        <w:spacing w:line="360" w:lineRule="auto" w:before="0" w:after="0"/>
        <w:jc w:val="left"/>
      </w:pPr>
      <w:r>
        <w:rPr>
          <w:rFonts w:ascii="Times New Roman" w:hAnsi="Times New Roman" w:eastAsia="Times New Roman"/>
          <w:b w:val="0"/>
          <w:i w:val="0"/>
          <w:sz w:val="24"/>
        </w:rPr>
        <w:t xml:space="preserve">The triple interaction coefficient is positive and statistically significant at the 5 percent level. The estimate of 0.0064 indicates that the post-ChatGPT flow response to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stronger among funds with above-median prior </w:t>
      </w:r>
      <w:r>
        <w:rPr>
          <w:rFonts w:ascii="Times New Roman" w:hAnsi="Times New Roman" w:eastAsia="Times New Roman"/>
          <w:b/>
          <w:i w:val="0"/>
          <w:sz w:val="24"/>
        </w:rPr>
        <w:t>alpha</w:t>
      </w:r>
      <w:r>
        <w:rPr>
          <w:rFonts w:ascii="Times New Roman" w:hAnsi="Times New Roman" w:eastAsia="Times New Roman"/>
          <w:b w:val="0"/>
          <w:i w:val="0"/>
          <w:sz w:val="24"/>
        </w:rPr>
        <w:t xml:space="preserve">. Combining the baseline </w:t>
      </w:r>
      <w:r>
        <w:rPr>
          <w:rFonts w:ascii="Times New Roman" w:hAnsi="Times New Roman" w:eastAsia="Times New Roman"/>
          <w:b/>
          <w:i w:val="0"/>
          <w:sz w:val="24"/>
        </w:rPr>
        <w:t>AI exposure</w:t>
      </w:r>
      <w:r>
        <w:rPr>
          <w:rFonts w:ascii="Times New Roman" w:hAnsi="Times New Roman" w:eastAsia="Times New Roman"/>
          <w:b w:val="0"/>
          <w:i w:val="0"/>
          <w:sz w:val="24"/>
        </w:rPr>
        <w:t xml:space="preserve"> effect and the triple interaction implies that high-</w:t>
      </w:r>
      <w:r>
        <w:rPr>
          <w:rFonts w:ascii="Times New Roman" w:hAnsi="Times New Roman" w:eastAsia="Times New Roman"/>
          <w:b/>
          <w:i w:val="0"/>
          <w:sz w:val="24"/>
        </w:rPr>
        <w:t>alpha</w:t>
      </w:r>
      <w:r>
        <w:rPr>
          <w:rFonts w:ascii="Times New Roman" w:hAnsi="Times New Roman" w:eastAsia="Times New Roman"/>
          <w:b w:val="0"/>
          <w:i w:val="0"/>
          <w:sz w:val="24"/>
        </w:rPr>
        <w:t xml:space="preserve"> funds experience an AI-related post-shock flow response of roughly 0.87 percentage points per month for a one-standard-deviation increase in </w:t>
      </w:r>
      <w:r>
        <w:rPr>
          <w:rFonts w:ascii="Times New Roman" w:hAnsi="Times New Roman" w:eastAsia="Times New Roman"/>
          <w:b/>
          <w:i w:val="0"/>
          <w:sz w:val="24"/>
        </w:rPr>
        <w:t>AI exposure</w:t>
      </w:r>
      <w:r>
        <w:rPr>
          <w:rFonts w:ascii="Times New Roman" w:hAnsi="Times New Roman" w:eastAsia="Times New Roman"/>
          <w:b w:val="0"/>
          <w:i w:val="0"/>
          <w:sz w:val="24"/>
        </w:rPr>
        <w:t>.</w:t>
      </w:r>
    </w:p>
    <w:p>
      <w:pPr>
        <w:spacing w:line="360" w:lineRule="auto" w:before="0" w:after="0"/>
        <w:jc w:val="left"/>
      </w:pPr>
      <w:r>
        <w:rPr>
          <w:rFonts w:ascii="Times New Roman" w:hAnsi="Times New Roman" w:eastAsia="Times New Roman"/>
          <w:b w:val="0"/>
          <w:i w:val="0"/>
          <w:sz w:val="24"/>
        </w:rPr>
        <w:t xml:space="preserve">This finding is consistent with the performance-chasing literature in mutual funds. Investors do not appear to respond only to thematic exposure; they also condition their allocation decisions on signals of managerial credibility. A fund with stronger historical </w:t>
      </w:r>
      <w:r>
        <w:rPr>
          <w:rFonts w:ascii="Times New Roman" w:hAnsi="Times New Roman" w:eastAsia="Times New Roman"/>
          <w:b/>
          <w:i w:val="0"/>
          <w:sz w:val="24"/>
        </w:rPr>
        <w:t>alpha</w:t>
      </w:r>
      <w:r>
        <w:rPr>
          <w:rFonts w:ascii="Times New Roman" w:hAnsi="Times New Roman" w:eastAsia="Times New Roman"/>
          <w:b w:val="0"/>
          <w:i w:val="0"/>
          <w:sz w:val="24"/>
        </w:rPr>
        <w:t xml:space="preserve"> may be viewed as more capable of selecting and managing AI-related opportunities, making its pre-existing </w:t>
      </w:r>
      <w:r>
        <w:rPr>
          <w:rFonts w:ascii="Times New Roman" w:hAnsi="Times New Roman" w:eastAsia="Times New Roman"/>
          <w:b/>
          <w:i w:val="0"/>
          <w:sz w:val="24"/>
        </w:rPr>
        <w:t>AI exposure</w:t>
      </w:r>
      <w:r>
        <w:rPr>
          <w:rFonts w:ascii="Times New Roman" w:hAnsi="Times New Roman" w:eastAsia="Times New Roman"/>
          <w:b w:val="0"/>
          <w:i w:val="0"/>
          <w:sz w:val="24"/>
        </w:rPr>
        <w:t xml:space="preserve"> more salient after the ChatGPT shock. H2 is supported.</w:t>
      </w:r>
    </w:p>
    <w:p>
      <w:pPr>
        <w:spacing w:line="360" w:lineRule="auto" w:before="0" w:after="0"/>
        <w:jc w:val="left"/>
      </w:pPr>
      <w:r>
        <w:rPr>
          <w:rFonts w:ascii="Times New Roman" w:hAnsi="Times New Roman" w:eastAsia="Times New Roman"/>
          <w:b/>
          <w:i w:val="0"/>
          <w:sz w:val="24"/>
        </w:rPr>
        <w:t>4.5 Portfolio Allocation and Strategic Adjustment</w:t>
      </w:r>
    </w:p>
    <w:p>
      <w:pPr>
        <w:spacing w:line="360" w:lineRule="auto" w:before="0" w:after="0"/>
        <w:jc w:val="left"/>
      </w:pPr>
      <w:r>
        <w:rPr>
          <w:rFonts w:ascii="Times New Roman" w:hAnsi="Times New Roman" w:eastAsia="Times New Roman"/>
          <w:b w:val="0"/>
          <w:i w:val="0"/>
          <w:sz w:val="24"/>
        </w:rPr>
        <w:t>The previous sections examine investor flows. This section turns to fund portfolio behavior and asks whether AI-exposed funds adjusted their holdings after ChatGPT. Table 4 reports quarterly regressions using two dependent variables: the number of newly initiated AI stock positions and the AI portfolio share.</w:t>
      </w:r>
    </w:p>
    <w:p>
      <w:pPr>
        <w:spacing w:line="360" w:lineRule="auto" w:before="0" w:after="0"/>
        <w:jc w:val="center"/>
      </w:pPr>
      <w:r>
        <w:rPr>
          <w:rFonts w:ascii="Times New Roman" w:hAnsi="Times New Roman" w:eastAsia="Times New Roman"/>
          <w:b w:val="0"/>
          <w:i/>
          <w:sz w:val="24"/>
        </w:rPr>
        <w:t>NewAIPositions</w:t>
      </w:r>
      <w:r>
        <w:rPr>
          <w:rFonts w:ascii="Times New Roman" w:hAnsi="Times New Roman" w:eastAsia="Times New Roman"/>
          <w:b w:val="0"/>
          <w:i/>
          <w:sz w:val="24"/>
          <w:vertAlign w:val="subscript"/>
        </w:rPr>
        <w:t>i,q</w:t>
      </w:r>
      <w:r>
        <w:rPr>
          <w:rFonts w:ascii="Times New Roman" w:hAnsi="Times New Roman" w:eastAsia="Times New Roman"/>
          <w:b w:val="0"/>
          <w:i/>
          <w:sz w:val="24"/>
        </w:rPr>
        <w:t xml:space="preserve"> = β(AIExposureZ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Post</w:t>
      </w:r>
      <w:r>
        <w:rPr>
          <w:rFonts w:ascii="Times New Roman" w:hAnsi="Times New Roman" w:eastAsia="Times New Roman"/>
          <w:b w:val="0"/>
          <w:i/>
          <w:sz w:val="24"/>
          <w:vertAlign w:val="subscript"/>
        </w:rPr>
        <w:t>q</w:t>
      </w:r>
      <w:r>
        <w:rPr>
          <w:rFonts w:ascii="Times New Roman" w:hAnsi="Times New Roman" w:eastAsia="Times New Roman"/>
          <w:b w:val="0"/>
          <w:i/>
          <w:sz w:val="24"/>
        </w:rPr>
        <w:t>) + γX</w:t>
      </w:r>
      <w:r>
        <w:rPr>
          <w:rFonts w:ascii="Times New Roman" w:hAnsi="Times New Roman" w:eastAsia="Times New Roman"/>
          <w:b w:val="0"/>
          <w:i/>
          <w:sz w:val="24"/>
          <w:vertAlign w:val="subscript"/>
        </w:rPr>
        <w:t>i,q-1</w:t>
      </w:r>
      <w:r>
        <w:rPr>
          <w:rFonts w:ascii="Times New Roman" w:hAnsi="Times New Roman" w:eastAsia="Times New Roman"/>
          <w:b w:val="0"/>
          <w:i/>
          <w:sz w:val="24"/>
        </w:rPr>
        <w:t xml:space="preserve"> + μ</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λ</w:t>
      </w:r>
      <w:r>
        <w:rPr>
          <w:rFonts w:ascii="Times New Roman" w:hAnsi="Times New Roman" w:eastAsia="Times New Roman"/>
          <w:b w:val="0"/>
          <w:i/>
          <w:sz w:val="24"/>
          <w:vertAlign w:val="subscript"/>
        </w:rPr>
        <w:t>q</w:t>
      </w:r>
      <w:r>
        <w:rPr>
          <w:rFonts w:ascii="Times New Roman" w:hAnsi="Times New Roman" w:eastAsia="Times New Roman"/>
          <w:b w:val="0"/>
          <w:i/>
          <w:sz w:val="24"/>
        </w:rPr>
        <w:t xml:space="preserve"> + ε</w:t>
      </w:r>
      <w:r>
        <w:rPr>
          <w:rFonts w:ascii="Times New Roman" w:hAnsi="Times New Roman" w:eastAsia="Times New Roman"/>
          <w:b w:val="0"/>
          <w:i/>
          <w:sz w:val="24"/>
          <w:vertAlign w:val="subscript"/>
        </w:rPr>
        <w:t>i,q</w:t>
      </w:r>
      <w:r>
        <w:rPr>
          <w:rFonts w:ascii="Times New Roman" w:hAnsi="Times New Roman" w:eastAsia="Times New Roman"/>
          <w:b w:val="0"/>
          <w:i w:val="0"/>
          <w:sz w:val="24"/>
        </w:rPr>
        <w:t xml:space="preserve">    （25）</w:t>
      </w:r>
    </w:p>
    <w:p>
      <w:pPr>
        <w:spacing w:line="360" w:lineRule="auto" w:before="0" w:after="0"/>
        <w:jc w:val="center"/>
      </w:pPr>
      <w:r>
        <w:rPr>
          <w:rFonts w:ascii="Times New Roman" w:hAnsi="Times New Roman" w:eastAsia="Times New Roman"/>
          <w:b w:val="0"/>
          <w:i/>
          <w:sz w:val="24"/>
        </w:rPr>
        <w:t>AIShare</w:t>
      </w:r>
      <w:r>
        <w:rPr>
          <w:rFonts w:ascii="Times New Roman" w:hAnsi="Times New Roman" w:eastAsia="Times New Roman"/>
          <w:b w:val="0"/>
          <w:i/>
          <w:sz w:val="24"/>
          <w:vertAlign w:val="subscript"/>
        </w:rPr>
        <w:t>i,q</w:t>
      </w:r>
      <w:r>
        <w:rPr>
          <w:rFonts w:ascii="Times New Roman" w:hAnsi="Times New Roman" w:eastAsia="Times New Roman"/>
          <w:b w:val="0"/>
          <w:i/>
          <w:sz w:val="24"/>
        </w:rPr>
        <w:t xml:space="preserve"> = β(AIExposureZ</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Post</w:t>
      </w:r>
      <w:r>
        <w:rPr>
          <w:rFonts w:ascii="Times New Roman" w:hAnsi="Times New Roman" w:eastAsia="Times New Roman"/>
          <w:b w:val="0"/>
          <w:i/>
          <w:sz w:val="24"/>
          <w:vertAlign w:val="subscript"/>
        </w:rPr>
        <w:t>q</w:t>
      </w:r>
      <w:r>
        <w:rPr>
          <w:rFonts w:ascii="Times New Roman" w:hAnsi="Times New Roman" w:eastAsia="Times New Roman"/>
          <w:b w:val="0"/>
          <w:i/>
          <w:sz w:val="24"/>
        </w:rPr>
        <w:t>) + γX</w:t>
      </w:r>
      <w:r>
        <w:rPr>
          <w:rFonts w:ascii="Times New Roman" w:hAnsi="Times New Roman" w:eastAsia="Times New Roman"/>
          <w:b w:val="0"/>
          <w:i/>
          <w:sz w:val="24"/>
          <w:vertAlign w:val="subscript"/>
        </w:rPr>
        <w:t>i,q-1</w:t>
      </w:r>
      <w:r>
        <w:rPr>
          <w:rFonts w:ascii="Times New Roman" w:hAnsi="Times New Roman" w:eastAsia="Times New Roman"/>
          <w:b w:val="0"/>
          <w:i/>
          <w:sz w:val="24"/>
        </w:rPr>
        <w:t xml:space="preserve"> + μ</w:t>
      </w:r>
      <w:r>
        <w:rPr>
          <w:rFonts w:ascii="Times New Roman" w:hAnsi="Times New Roman" w:eastAsia="Times New Roman"/>
          <w:b w:val="0"/>
          <w:i/>
          <w:sz w:val="24"/>
          <w:vertAlign w:val="subscript"/>
        </w:rPr>
        <w:t>i</w:t>
      </w:r>
      <w:r>
        <w:rPr>
          <w:rFonts w:ascii="Times New Roman" w:hAnsi="Times New Roman" w:eastAsia="Times New Roman"/>
          <w:b w:val="0"/>
          <w:i/>
          <w:sz w:val="24"/>
        </w:rPr>
        <w:t xml:space="preserve"> + λ</w:t>
      </w:r>
      <w:r>
        <w:rPr>
          <w:rFonts w:ascii="Times New Roman" w:hAnsi="Times New Roman" w:eastAsia="Times New Roman"/>
          <w:b w:val="0"/>
          <w:i/>
          <w:sz w:val="24"/>
          <w:vertAlign w:val="subscript"/>
        </w:rPr>
        <w:t>q</w:t>
      </w:r>
      <w:r>
        <w:rPr>
          <w:rFonts w:ascii="Times New Roman" w:hAnsi="Times New Roman" w:eastAsia="Times New Roman"/>
          <w:b w:val="0"/>
          <w:i/>
          <w:sz w:val="24"/>
        </w:rPr>
        <w:t xml:space="preserve"> + ε</w:t>
      </w:r>
      <w:r>
        <w:rPr>
          <w:rFonts w:ascii="Times New Roman" w:hAnsi="Times New Roman" w:eastAsia="Times New Roman"/>
          <w:b w:val="0"/>
          <w:i/>
          <w:sz w:val="24"/>
          <w:vertAlign w:val="subscript"/>
        </w:rPr>
        <w:t>i,q</w:t>
      </w:r>
      <w:r>
        <w:rPr>
          <w:rFonts w:ascii="Times New Roman" w:hAnsi="Times New Roman" w:eastAsia="Times New Roman"/>
          <w:b w:val="0"/>
          <w:i w:val="0"/>
          <w:sz w:val="24"/>
        </w:rPr>
        <w:t xml:space="preserve">    （26）</w:t>
      </w:r>
    </w:p>
    <w:p>
      <w:pPr>
        <w:spacing w:line="360" w:lineRule="auto" w:before="120" w:after="60"/>
        <w:jc w:val="left"/>
      </w:pPr>
      <w:r>
        <w:rPr>
          <w:rFonts w:ascii="Times New Roman" w:hAnsi="Times New Roman" w:eastAsia="Times New Roman"/>
          <w:b/>
          <w:i w:val="0"/>
          <w:sz w:val="24"/>
        </w:rPr>
        <w:t>Table 4. Portfolio Adjustment Results</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69"/>
        <w:gridCol w:w="2769"/>
        <w:gridCol w:w="2769"/>
      </w:tblGrid>
      <w:tr>
        <w:tc>
          <w:tcPr>
            <w:tcW w:type="dxa" w:w="2592"/>
            <w:vAlign w:val="center"/>
          </w:tcPr>
          <w:p>
            <w:pPr>
              <w:spacing w:line="240" w:lineRule="auto"/>
              <w:jc w:val="center"/>
            </w:pPr>
            <w:r/>
            <w:r>
              <w:rPr>
                <w:rFonts w:ascii="Times New Roman" w:hAnsi="Times New Roman" w:eastAsia="Times New Roman"/>
                <w:b/>
                <w:i w:val="0"/>
                <w:sz w:val="18"/>
              </w:rPr>
            </w:r>
          </w:p>
        </w:tc>
        <w:tc>
          <w:tcPr>
            <w:tcW w:type="dxa" w:w="2088"/>
            <w:vAlign w:val="center"/>
          </w:tcPr>
          <w:p>
            <w:pPr>
              <w:spacing w:line="240" w:lineRule="auto"/>
              <w:jc w:val="center"/>
            </w:pPr>
            <w:r/>
            <w:r>
              <w:rPr>
                <w:rFonts w:ascii="Times New Roman" w:hAnsi="Times New Roman" w:eastAsia="Times New Roman"/>
                <w:b/>
                <w:i w:val="0"/>
                <w:sz w:val="18"/>
              </w:rPr>
              <w:t>(1)</w:t>
              <w:br/>
              <w:t>new_ai_positions</w:t>
            </w:r>
          </w:p>
        </w:tc>
        <w:tc>
          <w:tcPr>
            <w:tcW w:type="dxa" w:w="2088"/>
            <w:vAlign w:val="center"/>
          </w:tcPr>
          <w:p>
            <w:pPr>
              <w:spacing w:line="240" w:lineRule="auto"/>
              <w:jc w:val="center"/>
            </w:pPr>
            <w:r/>
            <w:r>
              <w:rPr>
                <w:rFonts w:ascii="Times New Roman" w:hAnsi="Times New Roman" w:eastAsia="Times New Roman"/>
                <w:b/>
                <w:i w:val="0"/>
                <w:sz w:val="18"/>
              </w:rPr>
              <w:t>(2)</w:t>
              <w:br/>
              <w:t>AIShare</w:t>
            </w:r>
          </w:p>
        </w:tc>
      </w:tr>
      <w:tr>
        <w:tc>
          <w:tcPr>
            <w:tcW w:type="dxa" w:w="2592"/>
            <w:vAlign w:val="center"/>
          </w:tcPr>
          <w:p>
            <w:pPr>
              <w:spacing w:line="240" w:lineRule="auto"/>
              <w:jc w:val="left"/>
            </w:pPr>
            <w:r/>
            <w:r>
              <w:rPr>
                <w:rFonts w:ascii="Times New Roman" w:hAnsi="Times New Roman" w:eastAsia="Times New Roman"/>
                <w:b w:val="0"/>
                <w:i w:val="0"/>
                <w:sz w:val="18"/>
              </w:rPr>
              <w:t>AIExposureZ x Post</w:t>
            </w:r>
          </w:p>
        </w:tc>
        <w:tc>
          <w:tcPr>
            <w:tcW w:type="dxa" w:w="2088"/>
            <w:vAlign w:val="center"/>
          </w:tcPr>
          <w:p>
            <w:pPr>
              <w:spacing w:line="240" w:lineRule="auto"/>
              <w:jc w:val="center"/>
            </w:pPr>
            <w:r/>
            <w:r>
              <w:rPr>
                <w:rFonts w:ascii="Times New Roman" w:hAnsi="Times New Roman" w:eastAsia="Times New Roman"/>
                <w:b w:val="0"/>
                <w:i w:val="0"/>
                <w:sz w:val="18"/>
              </w:rPr>
              <w:t>-0.1146***</w:t>
              <w:br/>
              <w:t>(0.0174)</w:t>
            </w:r>
          </w:p>
        </w:tc>
        <w:tc>
          <w:tcPr>
            <w:tcW w:type="dxa" w:w="2088"/>
            <w:vAlign w:val="center"/>
          </w:tcPr>
          <w:p>
            <w:pPr>
              <w:spacing w:line="240" w:lineRule="auto"/>
              <w:jc w:val="center"/>
            </w:pPr>
            <w:r/>
            <w:r>
              <w:rPr>
                <w:rFonts w:ascii="Times New Roman" w:hAnsi="Times New Roman" w:eastAsia="Times New Roman"/>
                <w:b w:val="0"/>
                <w:i w:val="0"/>
                <w:sz w:val="18"/>
              </w:rPr>
              <w:t>3.8220***</w:t>
              <w:br/>
              <w:t>(0.2912)</w:t>
            </w:r>
          </w:p>
        </w:tc>
      </w:tr>
      <w:tr>
        <w:tc>
          <w:tcPr>
            <w:tcW w:type="dxa" w:w="2592"/>
            <w:vAlign w:val="center"/>
          </w:tcPr>
          <w:p>
            <w:pPr>
              <w:spacing w:line="240" w:lineRule="auto"/>
              <w:jc w:val="left"/>
            </w:pPr>
            <w:r/>
            <w:r>
              <w:rPr>
                <w:rFonts w:ascii="Times New Roman" w:hAnsi="Times New Roman" w:eastAsia="Times New Roman"/>
                <w:b w:val="0"/>
                <w:i w:val="0"/>
                <w:sz w:val="18"/>
              </w:rPr>
              <w:t>log_mtna_lag</w:t>
            </w:r>
          </w:p>
        </w:tc>
        <w:tc>
          <w:tcPr>
            <w:tcW w:type="dxa" w:w="2088"/>
            <w:vAlign w:val="center"/>
          </w:tcPr>
          <w:p>
            <w:pPr>
              <w:spacing w:line="240" w:lineRule="auto"/>
              <w:jc w:val="center"/>
            </w:pPr>
            <w:r/>
            <w:r>
              <w:rPr>
                <w:rFonts w:ascii="Times New Roman" w:hAnsi="Times New Roman" w:eastAsia="Times New Roman"/>
                <w:b w:val="0"/>
                <w:i w:val="0"/>
                <w:sz w:val="18"/>
              </w:rPr>
              <w:t>0.0020</w:t>
              <w:br/>
              <w:t>(0.0208)</w:t>
            </w:r>
          </w:p>
        </w:tc>
        <w:tc>
          <w:tcPr>
            <w:tcW w:type="dxa" w:w="2088"/>
            <w:vAlign w:val="center"/>
          </w:tcPr>
          <w:p>
            <w:pPr>
              <w:spacing w:line="240" w:lineRule="auto"/>
              <w:jc w:val="center"/>
            </w:pPr>
            <w:r/>
            <w:r>
              <w:rPr>
                <w:rFonts w:ascii="Times New Roman" w:hAnsi="Times New Roman" w:eastAsia="Times New Roman"/>
                <w:b w:val="0"/>
                <w:i w:val="0"/>
                <w:sz w:val="18"/>
              </w:rPr>
              <w:t>0.9569***</w:t>
              <w:br/>
              <w:t>(0.2893)</w:t>
            </w:r>
          </w:p>
        </w:tc>
      </w:tr>
      <w:tr>
        <w:tc>
          <w:tcPr>
            <w:tcW w:type="dxa" w:w="2592"/>
            <w:vAlign w:val="center"/>
          </w:tcPr>
          <w:p>
            <w:pPr>
              <w:spacing w:line="240" w:lineRule="auto"/>
              <w:jc w:val="left"/>
            </w:pPr>
            <w:r/>
            <w:r>
              <w:rPr>
                <w:rFonts w:ascii="Times New Roman" w:hAnsi="Times New Roman" w:eastAsia="Times New Roman"/>
                <w:b w:val="0"/>
                <w:i w:val="0"/>
                <w:sz w:val="18"/>
              </w:rPr>
              <w:t>mret_lag</w:t>
            </w:r>
          </w:p>
        </w:tc>
        <w:tc>
          <w:tcPr>
            <w:tcW w:type="dxa" w:w="2088"/>
            <w:vAlign w:val="center"/>
          </w:tcPr>
          <w:p>
            <w:pPr>
              <w:spacing w:line="240" w:lineRule="auto"/>
              <w:jc w:val="center"/>
            </w:pPr>
            <w:r/>
            <w:r>
              <w:rPr>
                <w:rFonts w:ascii="Times New Roman" w:hAnsi="Times New Roman" w:eastAsia="Times New Roman"/>
                <w:b w:val="0"/>
                <w:i w:val="0"/>
                <w:sz w:val="18"/>
              </w:rPr>
              <w:t>0.1674</w:t>
              <w:br/>
              <w:t>(0.2417)</w:t>
            </w:r>
          </w:p>
        </w:tc>
        <w:tc>
          <w:tcPr>
            <w:tcW w:type="dxa" w:w="2088"/>
            <w:vAlign w:val="center"/>
          </w:tcPr>
          <w:p>
            <w:pPr>
              <w:spacing w:line="240" w:lineRule="auto"/>
              <w:jc w:val="center"/>
            </w:pPr>
            <w:r/>
            <w:r>
              <w:rPr>
                <w:rFonts w:ascii="Times New Roman" w:hAnsi="Times New Roman" w:eastAsia="Times New Roman"/>
                <w:b w:val="0"/>
                <w:i w:val="0"/>
                <w:sz w:val="18"/>
              </w:rPr>
              <w:t>-1.6534</w:t>
              <w:br/>
              <w:t>(2.0153)</w:t>
            </w:r>
          </w:p>
        </w:tc>
      </w:tr>
      <w:tr>
        <w:tc>
          <w:tcPr>
            <w:tcW w:type="dxa" w:w="2592"/>
            <w:vAlign w:val="center"/>
          </w:tcPr>
          <w:p>
            <w:pPr>
              <w:spacing w:line="240" w:lineRule="auto"/>
              <w:jc w:val="left"/>
            </w:pPr>
            <w:r/>
            <w:r>
              <w:rPr>
                <w:rFonts w:ascii="Times New Roman" w:hAnsi="Times New Roman" w:eastAsia="Times New Roman"/>
                <w:b w:val="0"/>
                <w:i w:val="0"/>
                <w:sz w:val="18"/>
              </w:rPr>
              <w:t>flow_lag</w:t>
            </w:r>
          </w:p>
        </w:tc>
        <w:tc>
          <w:tcPr>
            <w:tcW w:type="dxa" w:w="2088"/>
            <w:vAlign w:val="center"/>
          </w:tcPr>
          <w:p>
            <w:pPr>
              <w:spacing w:line="240" w:lineRule="auto"/>
              <w:jc w:val="center"/>
            </w:pPr>
            <w:r/>
            <w:r>
              <w:rPr>
                <w:rFonts w:ascii="Times New Roman" w:hAnsi="Times New Roman" w:eastAsia="Times New Roman"/>
                <w:b w:val="0"/>
                <w:i w:val="0"/>
                <w:sz w:val="18"/>
              </w:rPr>
              <w:t>0.0096</w:t>
              <w:br/>
              <w:t>(0.1066)</w:t>
            </w:r>
          </w:p>
        </w:tc>
        <w:tc>
          <w:tcPr>
            <w:tcW w:type="dxa" w:w="2088"/>
            <w:vAlign w:val="center"/>
          </w:tcPr>
          <w:p>
            <w:pPr>
              <w:spacing w:line="240" w:lineRule="auto"/>
              <w:jc w:val="center"/>
            </w:pPr>
            <w:r/>
            <w:r>
              <w:rPr>
                <w:rFonts w:ascii="Times New Roman" w:hAnsi="Times New Roman" w:eastAsia="Times New Roman"/>
                <w:b w:val="0"/>
                <w:i w:val="0"/>
                <w:sz w:val="18"/>
              </w:rPr>
              <w:t>-0.0207</w:t>
              <w:br/>
              <w:t>(0.6120)</w:t>
            </w:r>
          </w:p>
        </w:tc>
      </w:tr>
      <w:tr>
        <w:tc>
          <w:tcPr>
            <w:tcW w:type="dxa" w:w="2592"/>
            <w:vAlign w:val="center"/>
          </w:tcPr>
          <w:p>
            <w:pPr>
              <w:spacing w:line="240" w:lineRule="auto"/>
              <w:jc w:val="left"/>
            </w:pPr>
            <w:r/>
            <w:r>
              <w:rPr>
                <w:rFonts w:ascii="Times New Roman" w:hAnsi="Times New Roman" w:eastAsia="Times New Roman"/>
                <w:b w:val="0"/>
                <w:i w:val="0"/>
                <w:sz w:val="18"/>
              </w:rPr>
              <w:t>Fund FE</w:t>
            </w:r>
          </w:p>
        </w:tc>
        <w:tc>
          <w:tcPr>
            <w:tcW w:type="dxa" w:w="2088"/>
            <w:vAlign w:val="center"/>
          </w:tcPr>
          <w:p>
            <w:pPr>
              <w:spacing w:line="240" w:lineRule="auto"/>
              <w:jc w:val="center"/>
            </w:pPr>
            <w:r/>
            <w:r>
              <w:rPr>
                <w:rFonts w:ascii="Times New Roman" w:hAnsi="Times New Roman" w:eastAsia="Times New Roman"/>
                <w:b w:val="0"/>
                <w:i w:val="0"/>
                <w:sz w:val="18"/>
              </w:rPr>
              <w:t>Yes</w:t>
            </w:r>
          </w:p>
        </w:tc>
        <w:tc>
          <w:tcPr>
            <w:tcW w:type="dxa" w:w="2088"/>
            <w:vAlign w:val="center"/>
          </w:tcPr>
          <w:p>
            <w:pPr>
              <w:spacing w:line="240" w:lineRule="auto"/>
              <w:jc w:val="center"/>
            </w:pPr>
            <w:r/>
            <w:r>
              <w:rPr>
                <w:rFonts w:ascii="Times New Roman" w:hAnsi="Times New Roman" w:eastAsia="Times New Roman"/>
                <w:b w:val="0"/>
                <w:i w:val="0"/>
                <w:sz w:val="18"/>
              </w:rPr>
              <w:t>Yes</w:t>
            </w:r>
          </w:p>
        </w:tc>
      </w:tr>
      <w:tr>
        <w:tc>
          <w:tcPr>
            <w:tcW w:type="dxa" w:w="2592"/>
            <w:vAlign w:val="center"/>
          </w:tcPr>
          <w:p>
            <w:pPr>
              <w:spacing w:line="240" w:lineRule="auto"/>
              <w:jc w:val="left"/>
            </w:pPr>
            <w:r/>
            <w:r>
              <w:rPr>
                <w:rFonts w:ascii="Times New Roman" w:hAnsi="Times New Roman" w:eastAsia="Times New Roman"/>
                <w:b w:val="0"/>
                <w:i w:val="0"/>
                <w:sz w:val="18"/>
              </w:rPr>
              <w:t>Quarter FE</w:t>
            </w:r>
          </w:p>
        </w:tc>
        <w:tc>
          <w:tcPr>
            <w:tcW w:type="dxa" w:w="2088"/>
            <w:vAlign w:val="center"/>
          </w:tcPr>
          <w:p>
            <w:pPr>
              <w:spacing w:line="240" w:lineRule="auto"/>
              <w:jc w:val="center"/>
            </w:pPr>
            <w:r/>
            <w:r>
              <w:rPr>
                <w:rFonts w:ascii="Times New Roman" w:hAnsi="Times New Roman" w:eastAsia="Times New Roman"/>
                <w:b w:val="0"/>
                <w:i w:val="0"/>
                <w:sz w:val="18"/>
              </w:rPr>
              <w:t>Yes</w:t>
            </w:r>
          </w:p>
        </w:tc>
        <w:tc>
          <w:tcPr>
            <w:tcW w:type="dxa" w:w="2088"/>
            <w:vAlign w:val="center"/>
          </w:tcPr>
          <w:p>
            <w:pPr>
              <w:spacing w:line="240" w:lineRule="auto"/>
              <w:jc w:val="center"/>
            </w:pPr>
            <w:r/>
            <w:r>
              <w:rPr>
                <w:rFonts w:ascii="Times New Roman" w:hAnsi="Times New Roman" w:eastAsia="Times New Roman"/>
                <w:b w:val="0"/>
                <w:i w:val="0"/>
                <w:sz w:val="18"/>
              </w:rPr>
              <w:t>Yes</w:t>
            </w:r>
          </w:p>
        </w:tc>
      </w:tr>
      <w:tr>
        <w:tc>
          <w:tcPr>
            <w:tcW w:type="dxa" w:w="2592"/>
            <w:vAlign w:val="center"/>
          </w:tcPr>
          <w:p>
            <w:pPr>
              <w:spacing w:line="240" w:lineRule="auto"/>
              <w:jc w:val="left"/>
            </w:pPr>
            <w:r/>
            <w:r>
              <w:rPr>
                <w:rFonts w:ascii="Times New Roman" w:hAnsi="Times New Roman" w:eastAsia="Times New Roman"/>
                <w:b w:val="0"/>
                <w:i w:val="0"/>
                <w:sz w:val="18"/>
              </w:rPr>
              <w:t>Observations</w:t>
            </w:r>
          </w:p>
        </w:tc>
        <w:tc>
          <w:tcPr>
            <w:tcW w:type="dxa" w:w="2088"/>
            <w:vAlign w:val="center"/>
          </w:tcPr>
          <w:p>
            <w:pPr>
              <w:spacing w:line="240" w:lineRule="auto"/>
              <w:jc w:val="center"/>
            </w:pPr>
            <w:r/>
            <w:r>
              <w:rPr>
                <w:rFonts w:ascii="Times New Roman" w:hAnsi="Times New Roman" w:eastAsia="Times New Roman"/>
                <w:b w:val="0"/>
                <w:i w:val="0"/>
                <w:sz w:val="18"/>
              </w:rPr>
              <w:t>28,016</w:t>
            </w:r>
          </w:p>
        </w:tc>
        <w:tc>
          <w:tcPr>
            <w:tcW w:type="dxa" w:w="2088"/>
            <w:vAlign w:val="center"/>
          </w:tcPr>
          <w:p>
            <w:pPr>
              <w:spacing w:line="240" w:lineRule="auto"/>
              <w:jc w:val="center"/>
            </w:pPr>
            <w:r/>
            <w:r>
              <w:rPr>
                <w:rFonts w:ascii="Times New Roman" w:hAnsi="Times New Roman" w:eastAsia="Times New Roman"/>
                <w:b w:val="0"/>
                <w:i w:val="0"/>
                <w:sz w:val="18"/>
              </w:rPr>
              <w:t>28,016</w:t>
            </w:r>
          </w:p>
        </w:tc>
      </w:tr>
      <w:tr>
        <w:tc>
          <w:tcPr>
            <w:tcW w:type="dxa" w:w="2592"/>
            <w:vAlign w:val="center"/>
          </w:tcPr>
          <w:p>
            <w:pPr>
              <w:spacing w:line="240" w:lineRule="auto"/>
              <w:jc w:val="left"/>
            </w:pPr>
            <w:r/>
            <w:r>
              <w:rPr>
                <w:rFonts w:ascii="Times New Roman" w:hAnsi="Times New Roman" w:eastAsia="Times New Roman"/>
                <w:b w:val="0"/>
                <w:i w:val="0"/>
                <w:sz w:val="18"/>
              </w:rPr>
              <w:t>R-squared</w:t>
            </w:r>
          </w:p>
        </w:tc>
        <w:tc>
          <w:tcPr>
            <w:tcW w:type="dxa" w:w="2088"/>
            <w:vAlign w:val="center"/>
          </w:tcPr>
          <w:p>
            <w:pPr>
              <w:spacing w:line="240" w:lineRule="auto"/>
              <w:jc w:val="center"/>
            </w:pPr>
            <w:r/>
            <w:r>
              <w:rPr>
                <w:rFonts w:ascii="Times New Roman" w:hAnsi="Times New Roman" w:eastAsia="Times New Roman"/>
                <w:b w:val="0"/>
                <w:i w:val="0"/>
                <w:sz w:val="18"/>
              </w:rPr>
              <w:t>0.0015</w:t>
            </w:r>
          </w:p>
        </w:tc>
        <w:tc>
          <w:tcPr>
            <w:tcW w:type="dxa" w:w="2088"/>
            <w:vAlign w:val="center"/>
          </w:tcPr>
          <w:p>
            <w:pPr>
              <w:spacing w:line="240" w:lineRule="auto"/>
              <w:jc w:val="center"/>
            </w:pPr>
            <w:r/>
            <w:r>
              <w:rPr>
                <w:rFonts w:ascii="Times New Roman" w:hAnsi="Times New Roman" w:eastAsia="Times New Roman"/>
                <w:b w:val="0"/>
                <w:i w:val="0"/>
                <w:sz w:val="18"/>
              </w:rPr>
              <w:t>0.0413</w:t>
            </w:r>
          </w:p>
        </w:tc>
      </w:tr>
    </w:tbl>
    <w:p>
      <w:pPr>
        <w:spacing w:line="240" w:lineRule="auto" w:before="0" w:after="120"/>
        <w:jc w:val="left"/>
      </w:pPr>
      <w:r>
        <w:rPr>
          <w:rFonts w:ascii="Times New Roman" w:hAnsi="Times New Roman" w:eastAsia="Times New Roman"/>
          <w:b w:val="0"/>
          <w:i/>
          <w:sz w:val="20"/>
        </w:rPr>
        <w:t>Notes: Regressions are estimated at the fund-quarter level. Standard errors are clustered at the fund level.</w:t>
      </w:r>
    </w:p>
    <w:p>
      <w:pPr>
        <w:spacing w:line="360" w:lineRule="auto" w:before="0" w:after="0"/>
        <w:jc w:val="left"/>
      </w:pPr>
      <w:r>
        <w:rPr>
          <w:rFonts w:ascii="Times New Roman" w:hAnsi="Times New Roman" w:eastAsia="Times New Roman"/>
          <w:b w:val="0"/>
          <w:i w:val="0"/>
          <w:sz w:val="24"/>
        </w:rPr>
        <w:t xml:space="preserve">The two portfolio measures reveal different margins of adjustment. The coefficient on </w:t>
      </w:r>
      <w:r>
        <w:rPr>
          <w:rFonts w:ascii="Times New Roman" w:hAnsi="Times New Roman" w:eastAsia="Times New Roman"/>
          <w:b/>
          <w:i w:val="0"/>
          <w:sz w:val="24"/>
        </w:rPr>
        <w:t>AIExposureZ x Post</w:t>
      </w:r>
      <w:r>
        <w:rPr>
          <w:rFonts w:ascii="Times New Roman" w:hAnsi="Times New Roman" w:eastAsia="Times New Roman"/>
          <w:b w:val="0"/>
          <w:i w:val="0"/>
          <w:sz w:val="24"/>
        </w:rPr>
        <w:t xml:space="preserve"> is negative and significant when the dependent variable is </w:t>
      </w:r>
      <w:r>
        <w:rPr>
          <w:rFonts w:ascii="Times New Roman" w:hAnsi="Times New Roman" w:eastAsia="Times New Roman"/>
          <w:b/>
          <w:i w:val="0"/>
          <w:sz w:val="24"/>
        </w:rPr>
        <w:t>new_ai_positions</w:t>
      </w:r>
      <w:r>
        <w:rPr>
          <w:rFonts w:ascii="Times New Roman" w:hAnsi="Times New Roman" w:eastAsia="Times New Roman"/>
          <w:b w:val="0"/>
          <w:i w:val="0"/>
          <w:sz w:val="24"/>
        </w:rPr>
        <w:t xml:space="preserve">. This indicates that high-AI-exposure funds did not respond by initiating a larger number of new AI stock names. Instead, the positive and highly significant coefficient in column (2) shows that these funds increased the percentage of portfolio assets allocated to AI-related firms. A one-standard-deviation increase in pre-shock </w:t>
      </w:r>
      <w:r>
        <w:rPr>
          <w:rFonts w:ascii="Times New Roman" w:hAnsi="Times New Roman" w:eastAsia="Times New Roman"/>
          <w:b/>
          <w:i w:val="0"/>
          <w:sz w:val="24"/>
        </w:rPr>
        <w:t>AI exposure</w:t>
      </w:r>
      <w:r>
        <w:rPr>
          <w:rFonts w:ascii="Times New Roman" w:hAnsi="Times New Roman" w:eastAsia="Times New Roman"/>
          <w:b w:val="0"/>
          <w:i w:val="0"/>
          <w:sz w:val="24"/>
        </w:rPr>
        <w:t xml:space="preserve"> is associated with a 3.82 percentage-point increase in AI portfolio share after ChatGPT.</w:t>
      </w:r>
    </w:p>
    <w:p>
      <w:pPr>
        <w:spacing w:line="360" w:lineRule="auto" w:before="120" w:after="60"/>
        <w:jc w:val="left"/>
      </w:pPr>
      <w:r>
        <w:rPr>
          <w:rFonts w:ascii="Times New Roman" w:hAnsi="Times New Roman" w:eastAsia="Times New Roman"/>
          <w:b/>
          <w:i w:val="0"/>
          <w:sz w:val="24"/>
        </w:rPr>
        <w:t>Figure 3. Average AI Portfolio Share Before and After ChatGPT</w:t>
      </w:r>
    </w:p>
    <w:p>
      <w:pPr>
        <w:spacing w:line="240" w:lineRule="auto" w:before="0" w:after="0"/>
        <w:jc w:val="center"/>
      </w:pPr>
      <w:r>
        <w:drawing>
          <wp:inline xmlns:a="http://schemas.openxmlformats.org/drawingml/2006/main" xmlns:pic="http://schemas.openxmlformats.org/drawingml/2006/picture">
            <wp:extent cx="5303520" cy="3081775"/>
            <wp:docPr id="4" name="Picture 4"/>
            <wp:cNvGraphicFramePr>
              <a:graphicFrameLocks noChangeAspect="1"/>
            </wp:cNvGraphicFramePr>
            <a:graphic>
              <a:graphicData uri="http://schemas.openxmlformats.org/drawingml/2006/picture">
                <pic:pic>
                  <pic:nvPicPr>
                    <pic:cNvPr id="0" name="figure3_ai_share_treatment_control.png"/>
                    <pic:cNvPicPr/>
                  </pic:nvPicPr>
                  <pic:blipFill>
                    <a:blip r:embed="rId9"/>
                    <a:stretch>
                      <a:fillRect/>
                    </a:stretch>
                  </pic:blipFill>
                  <pic:spPr>
                    <a:xfrm>
                      <a:off x="0" y="0"/>
                      <a:ext cx="5303520" cy="3081775"/>
                    </a:xfrm>
                    <a:prstGeom prst="rect"/>
                  </pic:spPr>
                </pic:pic>
              </a:graphicData>
            </a:graphic>
          </wp:inline>
        </w:drawing>
      </w:r>
    </w:p>
    <w:p>
      <w:pPr>
        <w:spacing w:line="360" w:lineRule="auto" w:before="0" w:after="0"/>
        <w:jc w:val="left"/>
      </w:pPr>
      <w:r>
        <w:rPr>
          <w:rFonts w:ascii="Times New Roman" w:hAnsi="Times New Roman" w:eastAsia="Times New Roman"/>
          <w:b w:val="0"/>
          <w:i w:val="0"/>
          <w:sz w:val="24"/>
        </w:rPr>
        <w:t>Figure 3 provides a visual representation of this intensive-margin adjustment. High-AI-exposure funds already hold larger AI-related portfolio shares before ChatGPT, but the divergence relative to low-AI-exposure funds becomes more pronounced after 2022. The pattern is consistent with strategic adaptation under technological uncertainty: rather than broadly adding many new AI names, funds with existing AI expertise appear to deepen exposure to firms already viewed as central to the AI investment theme.</w:t>
      </w:r>
    </w:p>
    <w:p>
      <w:pPr>
        <w:spacing w:line="360" w:lineRule="auto" w:before="0" w:after="0"/>
        <w:jc w:val="left"/>
      </w:pPr>
      <w:r>
        <w:rPr>
          <w:rFonts w:ascii="Times New Roman" w:hAnsi="Times New Roman" w:eastAsia="Times New Roman"/>
          <w:b w:val="0"/>
          <w:i w:val="0"/>
          <w:sz w:val="24"/>
        </w:rPr>
        <w:t>Taken together, the H3 evidence supports the central prediction that AI-exposed mutual funds adjusted portfolio allocation after the ChatGPT shock. The adjustment is best characterized as an increase in allocation intensity rather than an expansion in the number of distinct AI positions. H3 is therefore supported with respect to strategic portfolio reweighting toward AI-related assets.</w:t>
      </w:r>
    </w:p>
    <w:p>
      <w:pPr>
        <w:spacing w:line="360" w:lineRule="auto" w:before="0" w:after="0"/>
        <w:jc w:val="left"/>
      </w:pPr>
      <w:r>
        <w:rPr>
          <w:rFonts w:ascii="Times New Roman" w:hAnsi="Times New Roman" w:eastAsia="Times New Roman"/>
          <w:b/>
          <w:i w:val="0"/>
          <w:sz w:val="24"/>
        </w:rPr>
        <w:t>4.6 Robustness Tests</w:t>
      </w:r>
    </w:p>
    <w:p>
      <w:pPr>
        <w:spacing w:line="360" w:lineRule="auto" w:before="0" w:after="0"/>
        <w:jc w:val="left"/>
      </w:pPr>
      <w:r>
        <w:rPr>
          <w:rFonts w:ascii="Times New Roman" w:hAnsi="Times New Roman" w:eastAsia="Times New Roman"/>
          <w:b w:val="0"/>
          <w:i w:val="0"/>
          <w:sz w:val="24"/>
        </w:rPr>
        <w:t>Table 5 reports robustness tests that examine whether the baseline result is sensitive to alternative treatment definitions, timing assumptions, and sample restrictions. The tests include the continuous exposure specification, median-split treatment, top-quartile treatment, a placebo timing test, and a balanced-fund subsample.</w:t>
      </w:r>
    </w:p>
    <w:p>
      <w:pPr>
        <w:spacing w:line="360" w:lineRule="auto" w:before="120" w:after="60"/>
        <w:jc w:val="left"/>
      </w:pPr>
      <w:r>
        <w:rPr>
          <w:rFonts w:ascii="Times New Roman" w:hAnsi="Times New Roman" w:eastAsia="Times New Roman"/>
          <w:b/>
          <w:i w:val="0"/>
          <w:sz w:val="24"/>
        </w:rPr>
        <w:t>Table 5. Robustness Tests</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61"/>
        <w:gridCol w:w="1661"/>
        <w:gridCol w:w="1661"/>
        <w:gridCol w:w="1661"/>
        <w:gridCol w:w="1661"/>
      </w:tblGrid>
      <w:tr>
        <w:tc>
          <w:tcPr>
            <w:tcW w:type="dxa" w:w="2880"/>
            <w:vAlign w:val="center"/>
          </w:tcPr>
          <w:p>
            <w:pPr>
              <w:spacing w:line="240" w:lineRule="auto"/>
              <w:jc w:val="center"/>
            </w:pPr>
            <w:r/>
            <w:r>
              <w:rPr>
                <w:rFonts w:ascii="Times New Roman" w:hAnsi="Times New Roman" w:eastAsia="Times New Roman"/>
                <w:b/>
                <w:i w:val="0"/>
                <w:sz w:val="18"/>
              </w:rPr>
              <w:t>Specification</w:t>
            </w:r>
          </w:p>
        </w:tc>
        <w:tc>
          <w:tcPr>
            <w:tcW w:type="dxa" w:w="1440"/>
            <w:vAlign w:val="center"/>
          </w:tcPr>
          <w:p>
            <w:pPr>
              <w:spacing w:line="240" w:lineRule="auto"/>
              <w:jc w:val="center"/>
            </w:pPr>
            <w:r/>
            <w:r>
              <w:rPr>
                <w:rFonts w:ascii="Times New Roman" w:hAnsi="Times New Roman" w:eastAsia="Times New Roman"/>
                <w:b/>
                <w:i w:val="0"/>
                <w:sz w:val="18"/>
              </w:rPr>
              <w:t>Coefficient</w:t>
            </w:r>
          </w:p>
        </w:tc>
        <w:tc>
          <w:tcPr>
            <w:tcW w:type="dxa" w:w="1440"/>
            <w:vAlign w:val="center"/>
          </w:tcPr>
          <w:p>
            <w:pPr>
              <w:spacing w:line="240" w:lineRule="auto"/>
              <w:jc w:val="center"/>
            </w:pPr>
            <w:r/>
            <w:r>
              <w:rPr>
                <w:rFonts w:ascii="Times New Roman" w:hAnsi="Times New Roman" w:eastAsia="Times New Roman"/>
                <w:b/>
                <w:i w:val="0"/>
                <w:sz w:val="18"/>
              </w:rPr>
              <w:t>Std. Err.</w:t>
            </w:r>
          </w:p>
        </w:tc>
        <w:tc>
          <w:tcPr>
            <w:tcW w:type="dxa" w:w="1584"/>
            <w:vAlign w:val="center"/>
          </w:tcPr>
          <w:p>
            <w:pPr>
              <w:spacing w:line="240" w:lineRule="auto"/>
              <w:jc w:val="center"/>
            </w:pPr>
            <w:r/>
            <w:r>
              <w:rPr>
                <w:rFonts w:ascii="Times New Roman" w:hAnsi="Times New Roman" w:eastAsia="Times New Roman"/>
                <w:b/>
                <w:i w:val="0"/>
                <w:sz w:val="18"/>
              </w:rPr>
              <w:t>Observations</w:t>
            </w:r>
          </w:p>
        </w:tc>
        <w:tc>
          <w:tcPr>
            <w:tcW w:type="dxa" w:w="1440"/>
            <w:vAlign w:val="center"/>
          </w:tcPr>
          <w:p>
            <w:pPr>
              <w:spacing w:line="240" w:lineRule="auto"/>
              <w:jc w:val="center"/>
            </w:pPr>
            <w:r/>
            <w:r>
              <w:rPr>
                <w:rFonts w:ascii="Times New Roman" w:hAnsi="Times New Roman" w:eastAsia="Times New Roman"/>
                <w:b/>
                <w:i w:val="0"/>
                <w:sz w:val="18"/>
              </w:rPr>
              <w:t>R-squared</w:t>
            </w:r>
          </w:p>
        </w:tc>
      </w:tr>
      <w:tr>
        <w:tc>
          <w:tcPr>
            <w:tcW w:type="dxa" w:w="2880"/>
            <w:vAlign w:val="center"/>
          </w:tcPr>
          <w:p>
            <w:pPr>
              <w:spacing w:line="240" w:lineRule="auto"/>
              <w:jc w:val="left"/>
            </w:pPr>
            <w:r/>
            <w:r>
              <w:rPr>
                <w:rFonts w:ascii="Times New Roman" w:hAnsi="Times New Roman" w:eastAsia="Times New Roman"/>
                <w:b w:val="0"/>
                <w:i w:val="0"/>
                <w:sz w:val="18"/>
              </w:rPr>
              <w:t>Continuous exposure</w:t>
            </w:r>
          </w:p>
        </w:tc>
        <w:tc>
          <w:tcPr>
            <w:tcW w:type="dxa" w:w="1440"/>
            <w:vAlign w:val="center"/>
          </w:tcPr>
          <w:p>
            <w:pPr>
              <w:spacing w:line="240" w:lineRule="auto"/>
              <w:jc w:val="center"/>
            </w:pPr>
            <w:r/>
            <w:r>
              <w:rPr>
                <w:rFonts w:ascii="Times New Roman" w:hAnsi="Times New Roman" w:eastAsia="Times New Roman"/>
                <w:b w:val="0"/>
                <w:i w:val="0"/>
                <w:sz w:val="18"/>
              </w:rPr>
              <w:t>0.0057***</w:t>
            </w:r>
          </w:p>
        </w:tc>
        <w:tc>
          <w:tcPr>
            <w:tcW w:type="dxa" w:w="1440"/>
            <w:vAlign w:val="center"/>
          </w:tcPr>
          <w:p>
            <w:pPr>
              <w:spacing w:line="240" w:lineRule="auto"/>
              <w:jc w:val="center"/>
            </w:pPr>
            <w:r/>
            <w:r>
              <w:rPr>
                <w:rFonts w:ascii="Times New Roman" w:hAnsi="Times New Roman" w:eastAsia="Times New Roman"/>
                <w:b w:val="0"/>
                <w:i w:val="0"/>
                <w:sz w:val="18"/>
              </w:rPr>
              <w:t>(0.0009)</w:t>
            </w:r>
          </w:p>
        </w:tc>
        <w:tc>
          <w:tcPr>
            <w:tcW w:type="dxa" w:w="1584"/>
            <w:vAlign w:val="center"/>
          </w:tcPr>
          <w:p>
            <w:pPr>
              <w:spacing w:line="240" w:lineRule="auto"/>
              <w:jc w:val="center"/>
            </w:pPr>
            <w:r/>
            <w:r>
              <w:rPr>
                <w:rFonts w:ascii="Times New Roman" w:hAnsi="Times New Roman" w:eastAsia="Times New Roman"/>
                <w:b w:val="0"/>
                <w:i w:val="0"/>
                <w:sz w:val="18"/>
              </w:rPr>
              <w:t>81,262</w:t>
            </w:r>
          </w:p>
        </w:tc>
        <w:tc>
          <w:tcPr>
            <w:tcW w:type="dxa" w:w="1440"/>
            <w:vAlign w:val="center"/>
          </w:tcPr>
          <w:p>
            <w:pPr>
              <w:spacing w:line="240" w:lineRule="auto"/>
              <w:jc w:val="center"/>
            </w:pPr>
            <w:r/>
            <w:r>
              <w:rPr>
                <w:rFonts w:ascii="Times New Roman" w:hAnsi="Times New Roman" w:eastAsia="Times New Roman"/>
                <w:b w:val="0"/>
                <w:i w:val="0"/>
                <w:sz w:val="18"/>
              </w:rPr>
              <w:t>0.0371</w:t>
            </w:r>
          </w:p>
        </w:tc>
      </w:tr>
      <w:tr>
        <w:tc>
          <w:tcPr>
            <w:tcW w:type="dxa" w:w="2880"/>
            <w:vAlign w:val="center"/>
          </w:tcPr>
          <w:p>
            <w:pPr>
              <w:spacing w:line="240" w:lineRule="auto"/>
              <w:jc w:val="left"/>
            </w:pPr>
            <w:r/>
            <w:r>
              <w:rPr>
                <w:rFonts w:ascii="Times New Roman" w:hAnsi="Times New Roman" w:eastAsia="Times New Roman"/>
                <w:b w:val="0"/>
                <w:i w:val="0"/>
                <w:sz w:val="18"/>
              </w:rPr>
              <w:t>Median-split treatment</w:t>
            </w:r>
          </w:p>
        </w:tc>
        <w:tc>
          <w:tcPr>
            <w:tcW w:type="dxa" w:w="1440"/>
            <w:vAlign w:val="center"/>
          </w:tcPr>
          <w:p>
            <w:pPr>
              <w:spacing w:line="240" w:lineRule="auto"/>
              <w:jc w:val="center"/>
            </w:pPr>
            <w:r/>
            <w:r>
              <w:rPr>
                <w:rFonts w:ascii="Times New Roman" w:hAnsi="Times New Roman" w:eastAsia="Times New Roman"/>
                <w:b w:val="0"/>
                <w:i w:val="0"/>
                <w:sz w:val="18"/>
              </w:rPr>
              <w:t>0.0076***</w:t>
            </w:r>
          </w:p>
        </w:tc>
        <w:tc>
          <w:tcPr>
            <w:tcW w:type="dxa" w:w="1440"/>
            <w:vAlign w:val="center"/>
          </w:tcPr>
          <w:p>
            <w:pPr>
              <w:spacing w:line="240" w:lineRule="auto"/>
              <w:jc w:val="center"/>
            </w:pPr>
            <w:r/>
            <w:r>
              <w:rPr>
                <w:rFonts w:ascii="Times New Roman" w:hAnsi="Times New Roman" w:eastAsia="Times New Roman"/>
                <w:b w:val="0"/>
                <w:i w:val="0"/>
                <w:sz w:val="18"/>
              </w:rPr>
              <w:t>(0.0021)</w:t>
            </w:r>
          </w:p>
        </w:tc>
        <w:tc>
          <w:tcPr>
            <w:tcW w:type="dxa" w:w="1584"/>
            <w:vAlign w:val="center"/>
          </w:tcPr>
          <w:p>
            <w:pPr>
              <w:spacing w:line="240" w:lineRule="auto"/>
              <w:jc w:val="center"/>
            </w:pPr>
            <w:r/>
            <w:r>
              <w:rPr>
                <w:rFonts w:ascii="Times New Roman" w:hAnsi="Times New Roman" w:eastAsia="Times New Roman"/>
                <w:b w:val="0"/>
                <w:i w:val="0"/>
                <w:sz w:val="18"/>
              </w:rPr>
              <w:t>81,262</w:t>
            </w:r>
          </w:p>
        </w:tc>
        <w:tc>
          <w:tcPr>
            <w:tcW w:type="dxa" w:w="1440"/>
            <w:vAlign w:val="center"/>
          </w:tcPr>
          <w:p>
            <w:pPr>
              <w:spacing w:line="240" w:lineRule="auto"/>
              <w:jc w:val="center"/>
            </w:pPr>
            <w:r/>
            <w:r>
              <w:rPr>
                <w:rFonts w:ascii="Times New Roman" w:hAnsi="Times New Roman" w:eastAsia="Times New Roman"/>
                <w:b w:val="0"/>
                <w:i w:val="0"/>
                <w:sz w:val="18"/>
              </w:rPr>
              <w:t>0.0367</w:t>
            </w:r>
          </w:p>
        </w:tc>
      </w:tr>
      <w:tr>
        <w:tc>
          <w:tcPr>
            <w:tcW w:type="dxa" w:w="2880"/>
            <w:vAlign w:val="center"/>
          </w:tcPr>
          <w:p>
            <w:pPr>
              <w:spacing w:line="240" w:lineRule="auto"/>
              <w:jc w:val="left"/>
            </w:pPr>
            <w:r/>
            <w:r>
              <w:rPr>
                <w:rFonts w:ascii="Times New Roman" w:hAnsi="Times New Roman" w:eastAsia="Times New Roman"/>
                <w:b w:val="0"/>
                <w:i w:val="0"/>
                <w:sz w:val="18"/>
              </w:rPr>
              <w:t>Top-quartile treatment</w:t>
            </w:r>
          </w:p>
        </w:tc>
        <w:tc>
          <w:tcPr>
            <w:tcW w:type="dxa" w:w="1440"/>
            <w:vAlign w:val="center"/>
          </w:tcPr>
          <w:p>
            <w:pPr>
              <w:spacing w:line="240" w:lineRule="auto"/>
              <w:jc w:val="center"/>
            </w:pPr>
            <w:r/>
            <w:r>
              <w:rPr>
                <w:rFonts w:ascii="Times New Roman" w:hAnsi="Times New Roman" w:eastAsia="Times New Roman"/>
                <w:b w:val="0"/>
                <w:i w:val="0"/>
                <w:sz w:val="18"/>
              </w:rPr>
              <w:t>0.0085***</w:t>
            </w:r>
          </w:p>
        </w:tc>
        <w:tc>
          <w:tcPr>
            <w:tcW w:type="dxa" w:w="1440"/>
            <w:vAlign w:val="center"/>
          </w:tcPr>
          <w:p>
            <w:pPr>
              <w:spacing w:line="240" w:lineRule="auto"/>
              <w:jc w:val="center"/>
            </w:pPr>
            <w:r/>
            <w:r>
              <w:rPr>
                <w:rFonts w:ascii="Times New Roman" w:hAnsi="Times New Roman" w:eastAsia="Times New Roman"/>
                <w:b w:val="0"/>
                <w:i w:val="0"/>
                <w:sz w:val="18"/>
              </w:rPr>
              <w:t>(0.0023)</w:t>
            </w:r>
          </w:p>
        </w:tc>
        <w:tc>
          <w:tcPr>
            <w:tcW w:type="dxa" w:w="1584"/>
            <w:vAlign w:val="center"/>
          </w:tcPr>
          <w:p>
            <w:pPr>
              <w:spacing w:line="240" w:lineRule="auto"/>
              <w:jc w:val="center"/>
            </w:pPr>
            <w:r/>
            <w:r>
              <w:rPr>
                <w:rFonts w:ascii="Times New Roman" w:hAnsi="Times New Roman" w:eastAsia="Times New Roman"/>
                <w:b w:val="0"/>
                <w:i w:val="0"/>
                <w:sz w:val="18"/>
              </w:rPr>
              <w:t>81,262</w:t>
            </w:r>
          </w:p>
        </w:tc>
        <w:tc>
          <w:tcPr>
            <w:tcW w:type="dxa" w:w="1440"/>
            <w:vAlign w:val="center"/>
          </w:tcPr>
          <w:p>
            <w:pPr>
              <w:spacing w:line="240" w:lineRule="auto"/>
              <w:jc w:val="center"/>
            </w:pPr>
            <w:r/>
            <w:r>
              <w:rPr>
                <w:rFonts w:ascii="Times New Roman" w:hAnsi="Times New Roman" w:eastAsia="Times New Roman"/>
                <w:b w:val="0"/>
                <w:i w:val="0"/>
                <w:sz w:val="18"/>
              </w:rPr>
              <w:t>0.0367</w:t>
            </w:r>
          </w:p>
        </w:tc>
      </w:tr>
      <w:tr>
        <w:tc>
          <w:tcPr>
            <w:tcW w:type="dxa" w:w="2880"/>
            <w:vAlign w:val="center"/>
          </w:tcPr>
          <w:p>
            <w:pPr>
              <w:spacing w:line="240" w:lineRule="auto"/>
              <w:jc w:val="left"/>
            </w:pPr>
            <w:r/>
            <w:r>
              <w:rPr>
                <w:rFonts w:ascii="Times New Roman" w:hAnsi="Times New Roman" w:eastAsia="Times New Roman"/>
                <w:b w:val="0"/>
                <w:i w:val="0"/>
                <w:sz w:val="18"/>
              </w:rPr>
              <w:t>Placebo timing test</w:t>
            </w:r>
          </w:p>
        </w:tc>
        <w:tc>
          <w:tcPr>
            <w:tcW w:type="dxa" w:w="1440"/>
            <w:vAlign w:val="center"/>
          </w:tcPr>
          <w:p>
            <w:pPr>
              <w:spacing w:line="240" w:lineRule="auto"/>
              <w:jc w:val="center"/>
            </w:pPr>
            <w:r/>
            <w:r>
              <w:rPr>
                <w:rFonts w:ascii="Times New Roman" w:hAnsi="Times New Roman" w:eastAsia="Times New Roman"/>
                <w:b w:val="0"/>
                <w:i w:val="0"/>
                <w:sz w:val="18"/>
              </w:rPr>
              <w:t>0.0012</w:t>
            </w:r>
          </w:p>
        </w:tc>
        <w:tc>
          <w:tcPr>
            <w:tcW w:type="dxa" w:w="1440"/>
            <w:vAlign w:val="center"/>
          </w:tcPr>
          <w:p>
            <w:pPr>
              <w:spacing w:line="240" w:lineRule="auto"/>
              <w:jc w:val="center"/>
            </w:pPr>
            <w:r/>
            <w:r>
              <w:rPr>
                <w:rFonts w:ascii="Times New Roman" w:hAnsi="Times New Roman" w:eastAsia="Times New Roman"/>
                <w:b w:val="0"/>
                <w:i w:val="0"/>
                <w:sz w:val="18"/>
              </w:rPr>
              <w:t>(0.0014)</w:t>
            </w:r>
          </w:p>
        </w:tc>
        <w:tc>
          <w:tcPr>
            <w:tcW w:type="dxa" w:w="1584"/>
            <w:vAlign w:val="center"/>
          </w:tcPr>
          <w:p>
            <w:pPr>
              <w:spacing w:line="240" w:lineRule="auto"/>
              <w:jc w:val="center"/>
            </w:pPr>
            <w:r/>
            <w:r>
              <w:rPr>
                <w:rFonts w:ascii="Times New Roman" w:hAnsi="Times New Roman" w:eastAsia="Times New Roman"/>
                <w:b w:val="0"/>
                <w:i w:val="0"/>
                <w:sz w:val="18"/>
              </w:rPr>
              <w:t>39,688</w:t>
            </w:r>
          </w:p>
        </w:tc>
        <w:tc>
          <w:tcPr>
            <w:tcW w:type="dxa" w:w="1440"/>
            <w:vAlign w:val="center"/>
          </w:tcPr>
          <w:p>
            <w:pPr>
              <w:spacing w:line="240" w:lineRule="auto"/>
              <w:jc w:val="center"/>
            </w:pPr>
            <w:r/>
            <w:r>
              <w:rPr>
                <w:rFonts w:ascii="Times New Roman" w:hAnsi="Times New Roman" w:eastAsia="Times New Roman"/>
                <w:b w:val="0"/>
                <w:i w:val="0"/>
                <w:sz w:val="18"/>
              </w:rPr>
              <w:t>0.0596</w:t>
            </w:r>
          </w:p>
        </w:tc>
      </w:tr>
      <w:tr>
        <w:tc>
          <w:tcPr>
            <w:tcW w:type="dxa" w:w="2880"/>
            <w:vAlign w:val="center"/>
          </w:tcPr>
          <w:p>
            <w:pPr>
              <w:spacing w:line="240" w:lineRule="auto"/>
              <w:jc w:val="left"/>
            </w:pPr>
            <w:r/>
            <w:r>
              <w:rPr>
                <w:rFonts w:ascii="Times New Roman" w:hAnsi="Times New Roman" w:eastAsia="Times New Roman"/>
                <w:b w:val="0"/>
                <w:i w:val="0"/>
                <w:sz w:val="18"/>
              </w:rPr>
              <w:t>Balanced-fund subsample</w:t>
            </w:r>
          </w:p>
        </w:tc>
        <w:tc>
          <w:tcPr>
            <w:tcW w:type="dxa" w:w="1440"/>
            <w:vAlign w:val="center"/>
          </w:tcPr>
          <w:p>
            <w:pPr>
              <w:spacing w:line="240" w:lineRule="auto"/>
              <w:jc w:val="center"/>
            </w:pPr>
            <w:r/>
            <w:r>
              <w:rPr>
                <w:rFonts w:ascii="Times New Roman" w:hAnsi="Times New Roman" w:eastAsia="Times New Roman"/>
                <w:b w:val="0"/>
                <w:i w:val="0"/>
                <w:sz w:val="18"/>
              </w:rPr>
              <w:t>0.0055***</w:t>
            </w:r>
          </w:p>
        </w:tc>
        <w:tc>
          <w:tcPr>
            <w:tcW w:type="dxa" w:w="1440"/>
            <w:vAlign w:val="center"/>
          </w:tcPr>
          <w:p>
            <w:pPr>
              <w:spacing w:line="240" w:lineRule="auto"/>
              <w:jc w:val="center"/>
            </w:pPr>
            <w:r/>
            <w:r>
              <w:rPr>
                <w:rFonts w:ascii="Times New Roman" w:hAnsi="Times New Roman" w:eastAsia="Times New Roman"/>
                <w:b w:val="0"/>
                <w:i w:val="0"/>
                <w:sz w:val="18"/>
              </w:rPr>
              <w:t>(0.0009)</w:t>
            </w:r>
          </w:p>
        </w:tc>
        <w:tc>
          <w:tcPr>
            <w:tcW w:type="dxa" w:w="1584"/>
            <w:vAlign w:val="center"/>
          </w:tcPr>
          <w:p>
            <w:pPr>
              <w:spacing w:line="240" w:lineRule="auto"/>
              <w:jc w:val="center"/>
            </w:pPr>
            <w:r/>
            <w:r>
              <w:rPr>
                <w:rFonts w:ascii="Times New Roman" w:hAnsi="Times New Roman" w:eastAsia="Times New Roman"/>
                <w:b w:val="0"/>
                <w:i w:val="0"/>
                <w:sz w:val="18"/>
              </w:rPr>
              <w:t>71,929</w:t>
            </w:r>
          </w:p>
        </w:tc>
        <w:tc>
          <w:tcPr>
            <w:tcW w:type="dxa" w:w="1440"/>
            <w:vAlign w:val="center"/>
          </w:tcPr>
          <w:p>
            <w:pPr>
              <w:spacing w:line="240" w:lineRule="auto"/>
              <w:jc w:val="center"/>
            </w:pPr>
            <w:r/>
            <w:r>
              <w:rPr>
                <w:rFonts w:ascii="Times New Roman" w:hAnsi="Times New Roman" w:eastAsia="Times New Roman"/>
                <w:b w:val="0"/>
                <w:i w:val="0"/>
                <w:sz w:val="18"/>
              </w:rPr>
              <w:t>0.0402</w:t>
            </w:r>
          </w:p>
        </w:tc>
      </w:tr>
    </w:tbl>
    <w:p>
      <w:pPr>
        <w:spacing w:line="240" w:lineRule="auto" w:before="0" w:after="120"/>
        <w:jc w:val="left"/>
      </w:pPr>
      <w:r>
        <w:rPr>
          <w:rFonts w:ascii="Times New Roman" w:hAnsi="Times New Roman" w:eastAsia="Times New Roman"/>
          <w:b w:val="0"/>
          <w:i/>
          <w:sz w:val="20"/>
        </w:rPr>
        <w:t>Notes: The reported coefficient is the treatment interaction in each specification. Standard errors are clustered at the fund level.</w:t>
      </w:r>
    </w:p>
    <w:p>
      <w:pPr>
        <w:spacing w:line="360" w:lineRule="auto" w:before="0" w:after="0"/>
        <w:jc w:val="left"/>
      </w:pPr>
      <w:r>
        <w:rPr>
          <w:rFonts w:ascii="Times New Roman" w:hAnsi="Times New Roman" w:eastAsia="Times New Roman"/>
          <w:b w:val="0"/>
          <w:i w:val="0"/>
          <w:sz w:val="24"/>
        </w:rPr>
        <w:t>The results remain qualitatively unchanged across alternative specifications. The median-split treatment produces a positive coefficient of 0.0076, while the top-quartile treatment produces a coefficient of 0.0085. Both estimates are statistically significant at the 1 percent level, suggesting that the baseline finding is not driven by the use of a continuous treatment variable alone. The balanced-fund subsample also yields a positive and significant coefficient close to the main estimate.</w:t>
      </w:r>
    </w:p>
    <w:p>
      <w:pPr>
        <w:spacing w:line="360" w:lineRule="auto" w:before="120" w:after="60"/>
        <w:jc w:val="left"/>
      </w:pPr>
      <w:r>
        <w:rPr>
          <w:rFonts w:ascii="Times New Roman" w:hAnsi="Times New Roman" w:eastAsia="Times New Roman"/>
          <w:b/>
          <w:i w:val="0"/>
          <w:sz w:val="24"/>
        </w:rPr>
        <w:t>Figure 4. Placebo Test Distribution</w:t>
      </w:r>
    </w:p>
    <w:p>
      <w:pPr>
        <w:spacing w:line="240" w:lineRule="auto" w:before="0" w:after="0"/>
        <w:jc w:val="center"/>
      </w:pPr>
      <w:r>
        <w:drawing>
          <wp:inline xmlns:a="http://schemas.openxmlformats.org/drawingml/2006/main" xmlns:pic="http://schemas.openxmlformats.org/drawingml/2006/picture">
            <wp:extent cx="5120640" cy="2987040"/>
            <wp:docPr id="5" name="Picture 5"/>
            <wp:cNvGraphicFramePr>
              <a:graphicFrameLocks noChangeAspect="1"/>
            </wp:cNvGraphicFramePr>
            <a:graphic>
              <a:graphicData uri="http://schemas.openxmlformats.org/drawingml/2006/picture">
                <pic:pic>
                  <pic:nvPicPr>
                    <pic:cNvPr id="0" name="figure4_placebo_distribution.png"/>
                    <pic:cNvPicPr/>
                  </pic:nvPicPr>
                  <pic:blipFill>
                    <a:blip r:embed="rId10"/>
                    <a:stretch>
                      <a:fillRect/>
                    </a:stretch>
                  </pic:blipFill>
                  <pic:spPr>
                    <a:xfrm>
                      <a:off x="0" y="0"/>
                      <a:ext cx="5120640" cy="2987040"/>
                    </a:xfrm>
                    <a:prstGeom prst="rect"/>
                  </pic:spPr>
                </pic:pic>
              </a:graphicData>
            </a:graphic>
          </wp:inline>
        </w:drawing>
      </w:r>
    </w:p>
    <w:p>
      <w:pPr>
        <w:spacing w:line="360" w:lineRule="auto" w:before="0" w:after="0"/>
        <w:jc w:val="left"/>
      </w:pPr>
      <w:r>
        <w:rPr>
          <w:rFonts w:ascii="Times New Roman" w:hAnsi="Times New Roman" w:eastAsia="Times New Roman"/>
          <w:b w:val="0"/>
          <w:i w:val="0"/>
          <w:sz w:val="24"/>
        </w:rPr>
        <w:t>The placebo timing test provides additional evidence that the results are unlikely to be driven by random timing. The placebo coefficient is small and statistically insignificant, while the actual post-ChatGPT estimate lies in the positive tail of the placebo distribution. This pattern strengthens the interpretation that the estimated capital reallocation is related to the ChatGPT shock rather than a generic pre-existing trend among AI-exposed funds.</w:t>
      </w:r>
    </w:p>
    <w:p>
      <w:pPr>
        <w:spacing w:line="360" w:lineRule="auto" w:before="0" w:after="0"/>
        <w:jc w:val="left"/>
      </w:pPr>
      <w:r>
        <w:rPr>
          <w:rFonts w:ascii="Times New Roman" w:hAnsi="Times New Roman" w:eastAsia="Times New Roman"/>
          <w:b w:val="0"/>
          <w:i w:val="0"/>
          <w:sz w:val="24"/>
        </w:rPr>
        <w:t>Overall, the robustness evidence reinforces the baseline conclusion. Across continuous exposure, alternative threshold definitions, placebo timing, and sample restrictions, the estimated effects remain economically meaningful and directionally consistent. The results therefore support the interpretation that investor attention and technological optimism following the release of ChatGPT contributed to capital reallocation toward AI-exposed mutual funds.</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316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2026-05-14T08:40:00Z</dcterms:created>
  <dc:creator>果果</dc:creator>
  <cp:lastModifiedBy>果果</cp:lastModifiedBy>
  <dcterms:modified xsi:type="dcterms:W3CDTF">2026-05-16T18:32:57Z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