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CD93E2">
      <w:pPr>
        <w:rPr>
          <w:rFonts w:hint="default" w:eastAsiaTheme="minorEastAsia"/>
          <w:b/>
          <w:bCs/>
          <w:sz w:val="24"/>
          <w:szCs w:val="24"/>
          <w:lang w:val="en-US" w:eastAsia="zh-CN"/>
        </w:rPr>
      </w:pPr>
      <w:r>
        <w:rPr>
          <w:rFonts w:hint="eastAsia"/>
          <w:b/>
          <w:bCs/>
          <w:sz w:val="24"/>
          <w:szCs w:val="24"/>
          <w:lang w:val="en-US" w:eastAsia="zh-CN"/>
        </w:rPr>
        <w:t>美国</w:t>
      </w:r>
    </w:p>
    <w:p w14:paraId="6384E900">
      <w:pPr>
        <w:rPr>
          <w:rFonts w:hint="eastAsia"/>
          <w:sz w:val="24"/>
          <w:szCs w:val="24"/>
          <w:lang w:val="en-US" w:eastAsia="zh-CN"/>
        </w:rPr>
      </w:pPr>
      <w:r>
        <w:rPr>
          <w:rFonts w:hint="eastAsia" w:eastAsiaTheme="minorEastAsia"/>
          <w:sz w:val="24"/>
          <w:szCs w:val="24"/>
          <w:lang w:val="en-US" w:eastAsia="zh-CN"/>
        </w:rPr>
        <w:t>美国通用航空市场规模庞大，长期处于全球领先地位</w:t>
      </w:r>
      <w:r>
        <w:rPr>
          <w:rFonts w:hint="eastAsia"/>
          <w:sz w:val="24"/>
          <w:szCs w:val="24"/>
          <w:lang w:val="en-US" w:eastAsia="zh-CN"/>
        </w:rPr>
        <w:t>，具体表现为截止2023年，美国通用航空飞机总数约为20万架，截止2025年，从业人员超过130万人。同时其正通过政策引导、企业创新与地方实践协同推进，构建体系化的低空经济发展模式：联邦航空管理局（FAA）牵头制定了一系列先进空中出行（AAM）监管政策，为eVTOL等新型飞行器的商业化奠定法律基础；一批头部企业如Joby、Archer等在飞行器研发和商业模式创新方面持续发力，推动城市空中交通（UAM）从概念走向现实；多地政府亦启动试点项目，布局低空航线和垂直起降基础设施，积极打造低空经济生态圈。</w:t>
      </w:r>
    </w:p>
    <w:p w14:paraId="43B4EA20">
      <w:pPr>
        <w:rPr>
          <w:rFonts w:hint="eastAsia"/>
          <w:sz w:val="24"/>
          <w:szCs w:val="24"/>
          <w:lang w:val="en-US" w:eastAsia="zh-CN"/>
        </w:rPr>
      </w:pPr>
    </w:p>
    <w:p w14:paraId="4E17F026">
      <w:pPr>
        <w:rPr>
          <w:rFonts w:hint="eastAsia"/>
          <w:sz w:val="24"/>
          <w:szCs w:val="24"/>
          <w:lang w:val="en-US" w:eastAsia="zh-CN"/>
        </w:rPr>
      </w:pPr>
      <w:r>
        <w:rPr>
          <w:rFonts w:hint="eastAsia"/>
          <w:sz w:val="24"/>
          <w:szCs w:val="24"/>
          <w:lang w:val="en-US" w:eastAsia="zh-CN"/>
        </w:rPr>
        <w:t>在美国国内，约85%的国家空域为民用空域，仅部分禁飞区和军事空域受到军方管理。整体而言，这种开放式空域结构和灵活的空域管理政策，在全球范围内具有较高的自由度，有效促进了通用航空、无人机产业以及城市空中交通等低空经济活动的发展。同时FAA于2021年正式推出了低空授权与通知能力系统（Low Altitude Authorization and</w:t>
      </w:r>
      <w:bookmarkStart w:id="0" w:name="_GoBack"/>
      <w:bookmarkEnd w:id="0"/>
      <w:r>
        <w:rPr>
          <w:rFonts w:hint="eastAsia"/>
          <w:sz w:val="24"/>
          <w:szCs w:val="24"/>
          <w:lang w:val="en-US" w:eastAsia="zh-CN"/>
        </w:rPr>
        <w:t xml:space="preserve"> Notification Capability, LAANC），其通过与授权的第三方平台（如AirMap、Kittyhawk等）对接，实现了无人机在受控空域内的即时飞行许可获取。操作者可通过应用提交飞行计划，并在数分钟内获得FAA授权，极大地简化了传统审批流程。LAANC还整合了UAS设施地图（UAS Facility Maps），可精确显示机场周边各区域的最大飞行高度限制，帮助无人机操作员进行航线规划。截至目前，LAANC系统已覆盖全美近500座机场和300余个空中交通服务站点，并通过API接口持续向更多服务商开放接入，推动形成更加智能、高效的低空空域管理网络。</w:t>
      </w:r>
    </w:p>
    <w:p w14:paraId="64443360">
      <w:pPr>
        <w:rPr>
          <w:rFonts w:hint="eastAsia"/>
          <w:sz w:val="24"/>
          <w:szCs w:val="24"/>
          <w:lang w:val="en-US" w:eastAsia="zh-CN"/>
        </w:rPr>
      </w:pPr>
    </w:p>
    <w:p w14:paraId="6408A1CA">
      <w:pPr>
        <w:rPr>
          <w:rFonts w:hint="eastAsia"/>
          <w:sz w:val="24"/>
          <w:szCs w:val="24"/>
          <w:lang w:val="en-US" w:eastAsia="zh-CN"/>
        </w:rPr>
      </w:pPr>
      <w:r>
        <w:rPr>
          <w:rFonts w:hint="eastAsia"/>
          <w:sz w:val="24"/>
          <w:szCs w:val="24"/>
          <w:lang w:val="en-US" w:eastAsia="zh-CN"/>
        </w:rPr>
        <w:t>同样的，美国</w:t>
      </w:r>
      <w:r>
        <w:rPr>
          <w:rFonts w:hint="default"/>
          <w:sz w:val="24"/>
          <w:szCs w:val="24"/>
          <w:lang w:val="en-US" w:eastAsia="zh-CN"/>
        </w:rPr>
        <w:t>FAA</w:t>
      </w:r>
      <w:r>
        <w:rPr>
          <w:rFonts w:hint="eastAsia"/>
          <w:sz w:val="24"/>
          <w:szCs w:val="24"/>
          <w:lang w:val="en-US" w:eastAsia="zh-CN"/>
        </w:rPr>
        <w:t>的适航标准为其他许多尚未出台专门针对eVTOL的适航规章的国家做了参考。例如韩国eVTOL相关企业在适航策略上更多采取“对外对标”路径，即直接按照 美国FAA的适航标准（如Part 23, Part 27）或G-1路径进行产品研发与申请，力求通过满足国际适航体系要求以获得市场通行资质，这也反映出美国在这一领域标杆与领衔的国际市场地位。</w:t>
      </w:r>
    </w:p>
    <w:p w14:paraId="187FE81B">
      <w:pPr>
        <w:rPr>
          <w:rFonts w:hint="eastAsia"/>
          <w:sz w:val="24"/>
          <w:szCs w:val="24"/>
          <w:lang w:val="en-US" w:eastAsia="zh-CN"/>
        </w:rPr>
      </w:pPr>
    </w:p>
    <w:p w14:paraId="19EAC329">
      <w:pPr>
        <w:rPr>
          <w:rFonts w:hint="default"/>
          <w:sz w:val="24"/>
          <w:szCs w:val="24"/>
          <w:lang w:val="en-US" w:eastAsia="zh-CN"/>
        </w:rPr>
      </w:pPr>
      <w:r>
        <w:rPr>
          <w:rFonts w:hint="default"/>
          <w:sz w:val="24"/>
          <w:szCs w:val="24"/>
          <w:lang w:val="en-US" w:eastAsia="zh-CN"/>
        </w:rPr>
        <w:t>美国</w:t>
      </w:r>
      <w:r>
        <w:rPr>
          <w:rFonts w:hint="eastAsia"/>
          <w:sz w:val="24"/>
          <w:szCs w:val="24"/>
          <w:lang w:val="en-US" w:eastAsia="zh-CN"/>
        </w:rPr>
        <w:t>企业也</w:t>
      </w:r>
      <w:r>
        <w:rPr>
          <w:rFonts w:hint="default"/>
          <w:sz w:val="24"/>
          <w:szCs w:val="24"/>
          <w:lang w:val="en-US" w:eastAsia="zh-CN"/>
        </w:rPr>
        <w:t>已在低空经济领域确立起全球标杆式地位，其产业链布局全面、企业矩阵领先、政策环境成熟，构建了从整机制造、动力系统、飞控技术到城市空中交通（UAM）运营与基础设施建设的完整生态体系。Joby Aviation、Archer Aviation、Wisk Aero、Beta Technologies等一批代表性企业，不仅在eVTOL研发与商业化推进方面全球领先，更通过与FAA协作、参与军民融合计划、拓展多元应用场景，持续引领行业发展方向。此外，美国还涌现出如Skyports、Urban Movement Labs等专注于配套基础设施和城市试点网络建设的创新力量，有效支撑了低空交通的场景落地。整体来看，美国以“技术创新+政策支持+市场牵引”三位一体的方式，率先实现从概念验证到应用部署的飞跃，在全球低空经济竞争格局中处于核心引领地位，未来有望主导国际标准制定与商业模式输出。</w:t>
      </w:r>
    </w:p>
    <w:p w14:paraId="6FE7AF23">
      <w:pPr>
        <w:rPr>
          <w:rFonts w:hint="default"/>
          <w:sz w:val="24"/>
          <w:szCs w:val="24"/>
          <w:lang w:val="en-US" w:eastAsia="zh-CN"/>
        </w:rPr>
      </w:pPr>
    </w:p>
    <w:p w14:paraId="3B75D900">
      <w:pPr>
        <w:rPr>
          <w:rFonts w:hint="eastAsia"/>
          <w:b w:val="0"/>
          <w:bCs w:val="0"/>
          <w:sz w:val="24"/>
          <w:szCs w:val="24"/>
          <w:lang w:val="en-US" w:eastAsia="zh-CN"/>
        </w:rPr>
      </w:pPr>
      <w:r>
        <w:rPr>
          <w:rFonts w:hint="eastAsia"/>
          <w:b/>
          <w:bCs/>
          <w:sz w:val="24"/>
          <w:szCs w:val="24"/>
          <w:lang w:val="en-US" w:eastAsia="zh-CN"/>
        </w:rPr>
        <w:t>欧洲</w:t>
      </w:r>
    </w:p>
    <w:p w14:paraId="348248FE">
      <w:pPr>
        <w:rPr>
          <w:rFonts w:hint="eastAsia"/>
          <w:b w:val="0"/>
          <w:bCs w:val="0"/>
          <w:sz w:val="24"/>
          <w:szCs w:val="24"/>
          <w:lang w:val="en-US" w:eastAsia="zh-CN"/>
        </w:rPr>
      </w:pPr>
      <w:r>
        <w:rPr>
          <w:rFonts w:hint="default"/>
          <w:b w:val="0"/>
          <w:bCs w:val="0"/>
          <w:sz w:val="24"/>
          <w:szCs w:val="24"/>
          <w:lang w:val="en-US" w:eastAsia="zh-CN"/>
        </w:rPr>
        <w:t>欧洲在低空经济发展方面秉持“安全优先、规范先行”的一体化推进思路，强调跨国监管协同、技术标准统一与可持续发展路径。欧盟委员会与欧洲航空安全局（EASA）联合推动先进空中出行（AAM）监管体系建设，率先发布eVTOL适航指南和城市空中交通（UAM）运行框架，为成员国制定本地政策提供统一依据；多个国家级监管机构在EASA指导下开展本地适配试点，推动法规与市场同步落地</w:t>
      </w:r>
      <w:r>
        <w:rPr>
          <w:rFonts w:hint="eastAsia"/>
          <w:b w:val="0"/>
          <w:bCs w:val="0"/>
          <w:sz w:val="24"/>
          <w:szCs w:val="24"/>
          <w:lang w:val="en-US" w:eastAsia="zh-CN"/>
        </w:rPr>
        <w:t>，致力于打造全的面的规范、安全、可持续的低空交通体系。</w:t>
      </w:r>
    </w:p>
    <w:p w14:paraId="7284A578">
      <w:pPr>
        <w:rPr>
          <w:rFonts w:hint="eastAsia"/>
          <w:b w:val="0"/>
          <w:bCs w:val="0"/>
          <w:sz w:val="24"/>
          <w:szCs w:val="24"/>
          <w:lang w:val="en-US" w:eastAsia="zh-CN"/>
        </w:rPr>
      </w:pPr>
    </w:p>
    <w:p w14:paraId="746069FE">
      <w:pPr>
        <w:rPr>
          <w:rFonts w:hint="default"/>
          <w:sz w:val="24"/>
          <w:szCs w:val="24"/>
          <w:lang w:val="en-US" w:eastAsia="zh-CN"/>
        </w:rPr>
      </w:pPr>
      <w:r>
        <w:rPr>
          <w:rFonts w:hint="default"/>
          <w:sz w:val="24"/>
          <w:szCs w:val="24"/>
          <w:lang w:val="en-US" w:eastAsia="zh-CN"/>
        </w:rPr>
        <w:t>在监管制度构建层面，欧盟已走在全球前列，率先推动电动垂直起降航空器（eVTOL）合规体系的法制化与系统化进程。2024年5月23日，欧盟委员会正式颁布《EU 2024/1111号条例》，明确界定了对具备垂直起降能力的载人航空器（Vertical Take-off and Landing-capable Aircraft, VCA）适用的适航审定标准、运行规则及飞行员执照管理要求，标志着欧盟在eVTOL监管领域迈入统一、规范的新阶段。整体而言，欧盟正在构建一套较为系统且具有前瞻性的低空经济监管框架，其核心内容覆盖分类监管、空域管理、无人系统操作规范与空中交通体系重构等多个关键维度。</w:t>
      </w:r>
    </w:p>
    <w:p w14:paraId="18A5F070">
      <w:pPr>
        <w:rPr>
          <w:rFonts w:hint="default"/>
          <w:sz w:val="24"/>
          <w:szCs w:val="24"/>
          <w:lang w:val="en-US" w:eastAsia="zh-CN"/>
        </w:rPr>
      </w:pPr>
    </w:p>
    <w:p w14:paraId="424E03EF">
      <w:pPr>
        <w:rPr>
          <w:rFonts w:hint="default"/>
          <w:sz w:val="24"/>
          <w:szCs w:val="24"/>
          <w:lang w:val="en-US" w:eastAsia="zh-CN"/>
        </w:rPr>
      </w:pPr>
      <w:r>
        <w:rPr>
          <w:rFonts w:hint="default"/>
          <w:sz w:val="24"/>
          <w:szCs w:val="24"/>
          <w:lang w:val="en-US" w:eastAsia="zh-CN"/>
        </w:rPr>
        <w:t>首先，在分类监管机制方面，欧洲航空安全局（EASA）自2015年起提出基于飞行风险水平的三级监管体系，并在后续法规中不断完善，形成“开放类”（Open Category）、“特定类”（Specific Category）与“认证类”（Certified Category）三大类目。其中，开放类主要适用于视距内飞行的低风险操作，无需事先批准；特定类则针对中等风险场景，需经由国家民航局审批并提交具体风险评估；认证类则涵盖高风险用途与载人航空器，需遵循与传统航空器相当的适航、安全与质量管理标准。</w:t>
      </w:r>
    </w:p>
    <w:p w14:paraId="3C0A0B6D">
      <w:pPr>
        <w:rPr>
          <w:rFonts w:hint="default"/>
          <w:sz w:val="24"/>
          <w:szCs w:val="24"/>
          <w:lang w:val="en-US" w:eastAsia="zh-CN"/>
        </w:rPr>
      </w:pPr>
    </w:p>
    <w:p w14:paraId="1DBB2DAB">
      <w:pPr>
        <w:rPr>
          <w:rFonts w:hint="default"/>
          <w:sz w:val="24"/>
          <w:szCs w:val="24"/>
          <w:lang w:val="en-US" w:eastAsia="zh-CN"/>
        </w:rPr>
      </w:pPr>
      <w:r>
        <w:rPr>
          <w:rFonts w:hint="default"/>
          <w:sz w:val="24"/>
          <w:szCs w:val="24"/>
          <w:lang w:val="en-US" w:eastAsia="zh-CN"/>
        </w:rPr>
        <w:t>为应对低空空域飞行器数量快速增长所带来的运行压力，欧盟同步推进U-space系统的顶层设计与部署。U-space作为统一的数字化低空空域管理平台，旨在实现500英尺（约150米）以下空域的动态监测与智能调度，促进无人机服务提供商（U-Space Service Providers, USSP）与通用信息服务提供商（Common Information Service Providers, CISP）之间的安全、高效信息交互。EASA于2024年发布的《U-space简易接入指引》进一步为成员国的本地部署提供统一的操作框架与制度保障。</w:t>
      </w:r>
    </w:p>
    <w:p w14:paraId="18E1DAD6">
      <w:pPr>
        <w:rPr>
          <w:rFonts w:hint="default"/>
          <w:sz w:val="24"/>
          <w:szCs w:val="24"/>
          <w:lang w:val="en-US" w:eastAsia="zh-CN"/>
        </w:rPr>
      </w:pPr>
    </w:p>
    <w:p w14:paraId="71E4044E">
      <w:pPr>
        <w:rPr>
          <w:rFonts w:hint="default"/>
          <w:sz w:val="24"/>
          <w:szCs w:val="24"/>
          <w:lang w:val="en-US" w:eastAsia="zh-CN"/>
        </w:rPr>
      </w:pPr>
      <w:r>
        <w:rPr>
          <w:rFonts w:hint="default"/>
          <w:sz w:val="24"/>
          <w:szCs w:val="24"/>
          <w:lang w:val="en-US" w:eastAsia="zh-CN"/>
        </w:rPr>
        <w:t>在运行规范方面，欧盟对开放类无人航空器设定了精细化的操作标准，具体包括最大飞行高度不得超过120米、不得飞越非相关人员、须与其保持最小30米（在启用低速模式时可缩短至5米）的水平距离。此外，操作员需年满16岁，并通过官方指定的在线培训课程与考试认证，体现出监管体系对技术普及与风险控制的平衡考量。</w:t>
      </w:r>
    </w:p>
    <w:p w14:paraId="5B819E04">
      <w:pPr>
        <w:rPr>
          <w:rFonts w:hint="default"/>
          <w:sz w:val="24"/>
          <w:szCs w:val="24"/>
          <w:lang w:val="en-US" w:eastAsia="zh-CN"/>
        </w:rPr>
      </w:pPr>
    </w:p>
    <w:p w14:paraId="0F9B23EA">
      <w:pPr>
        <w:rPr>
          <w:rFonts w:hint="default"/>
          <w:sz w:val="24"/>
          <w:szCs w:val="24"/>
          <w:lang w:val="en-US" w:eastAsia="zh-CN"/>
        </w:rPr>
      </w:pPr>
      <w:r>
        <w:rPr>
          <w:rFonts w:hint="default"/>
          <w:sz w:val="24"/>
          <w:szCs w:val="24"/>
          <w:lang w:val="en-US" w:eastAsia="zh-CN"/>
        </w:rPr>
        <w:t>针对长期存在的欧洲空域碎片化问题，欧盟于2024年正式达成“单一欧洲天空”（Single European Sky）改革协议，致力于提升跨国空中交通协同效率、降低航空运营成本并减轻环境负担。该改革推动成员国建立统一的国家监督机构（National Supervisory Authorities, NSAs），并从空管系统架构、绩效评估机制与财政可持续性等方面强化区域一体化监管能力。</w:t>
      </w:r>
    </w:p>
    <w:p w14:paraId="70E2DE14">
      <w:pPr>
        <w:rPr>
          <w:rFonts w:hint="default"/>
          <w:sz w:val="24"/>
          <w:szCs w:val="24"/>
          <w:lang w:val="en-US" w:eastAsia="zh-CN"/>
        </w:rPr>
      </w:pPr>
    </w:p>
    <w:p w14:paraId="65DFD1FE">
      <w:pPr>
        <w:rPr>
          <w:rFonts w:hint="default"/>
          <w:sz w:val="24"/>
          <w:szCs w:val="24"/>
          <w:lang w:val="en-US" w:eastAsia="zh-CN"/>
        </w:rPr>
      </w:pPr>
      <w:r>
        <w:rPr>
          <w:rFonts w:hint="default"/>
          <w:sz w:val="24"/>
          <w:szCs w:val="24"/>
          <w:lang w:val="en-US" w:eastAsia="zh-CN"/>
        </w:rPr>
        <w:t>为推动电动垂直起降航空器（eVTOL）在欧洲的安全合规发展，欧洲航空安全局（EASA）于2019年7月正式发布《小型垂直起降航空器专用条件》（Special Condition for Small-Category Vertical Take-Off and Landing Aircraft, SC-VTOL-01）[18]，该文件被视为全球首个针对eVTOL设计发布的系统性适航规范。</w:t>
      </w:r>
    </w:p>
    <w:p w14:paraId="05B8E7EE">
      <w:pPr>
        <w:rPr>
          <w:rFonts w:hint="default"/>
          <w:sz w:val="24"/>
          <w:szCs w:val="24"/>
          <w:lang w:val="en-US" w:eastAsia="zh-CN"/>
        </w:rPr>
      </w:pPr>
    </w:p>
    <w:p w14:paraId="5675BD6E">
      <w:pPr>
        <w:rPr>
          <w:rFonts w:hint="default"/>
          <w:sz w:val="24"/>
          <w:szCs w:val="24"/>
          <w:lang w:val="en-US" w:eastAsia="zh-CN"/>
        </w:rPr>
      </w:pPr>
      <w:r>
        <w:rPr>
          <w:rFonts w:hint="eastAsia"/>
          <w:sz w:val="24"/>
          <w:szCs w:val="24"/>
          <w:lang w:val="en-US" w:eastAsia="zh-CN"/>
        </w:rPr>
        <w:t>并且</w:t>
      </w:r>
      <w:r>
        <w:rPr>
          <w:rFonts w:hint="default"/>
          <w:sz w:val="24"/>
          <w:szCs w:val="24"/>
          <w:lang w:val="en-US" w:eastAsia="zh-CN"/>
        </w:rPr>
        <w:t>根据《欧盟航空安全法规》（Regulation (EU) 2018/1139）和《欧盟基本权利宪章》，eVTOL及无人系统在运营过程中须保障个人隐私与数据保护权利。在实际应用中，凡涉及图像、定位、生物识别等个人数据的采集与处理，均需遵守《通用数据保护条例》（GDPR）所规定的合规义务。GDPR要求运营者确保数据处理具有合法性基础、遵循最小化与目的限定原则，并保障数据主体的知情、访问、更正、删除等权利。此外，运营者还须采取安全控制措施并建立责任追溯机制。值得注意的是，GDPR具有域外适用效力，跨国eVTOL平台在涉欧数据运营中亦需全面对接欧盟监管标准，构建完善的数据合规体系。</w:t>
      </w:r>
    </w:p>
    <w:p w14:paraId="4A86B6CA">
      <w:pPr>
        <w:rPr>
          <w:rFonts w:hint="default"/>
          <w:sz w:val="24"/>
          <w:szCs w:val="24"/>
          <w:lang w:val="en-US" w:eastAsia="zh-CN"/>
        </w:rPr>
      </w:pPr>
    </w:p>
    <w:p w14:paraId="3A3DD6B6">
      <w:pPr>
        <w:rPr>
          <w:rFonts w:hint="default"/>
          <w:b w:val="0"/>
          <w:bCs w:val="0"/>
          <w:sz w:val="24"/>
          <w:szCs w:val="24"/>
          <w:lang w:val="en-US" w:eastAsia="zh-CN"/>
        </w:rPr>
      </w:pPr>
      <w:r>
        <w:rPr>
          <w:rFonts w:hint="eastAsia"/>
          <w:b/>
          <w:bCs/>
          <w:sz w:val="24"/>
          <w:szCs w:val="24"/>
          <w:lang w:val="en-US" w:eastAsia="zh-CN"/>
        </w:rPr>
        <w:t>日韩</w:t>
      </w:r>
    </w:p>
    <w:p w14:paraId="3F1CDC5C">
      <w:pPr>
        <w:rPr>
          <w:rFonts w:hint="default"/>
          <w:sz w:val="24"/>
          <w:szCs w:val="24"/>
          <w:lang w:val="en-US" w:eastAsia="zh-CN"/>
        </w:rPr>
      </w:pPr>
      <w:r>
        <w:rPr>
          <w:rFonts w:hint="default"/>
          <w:sz w:val="24"/>
          <w:szCs w:val="24"/>
          <w:lang w:val="en-US" w:eastAsia="zh-CN"/>
        </w:rPr>
        <w:t>日韩作为亚洲低空经济发展的代表，正以“技术驱动+场景导向”的发展模式快速切入全球竞争格局，展现出在城市空中交通（UAM）与eVTOL商业化方面的先发突破潜力。相较于欧美强调制度引领与市场成熟路径，日韩更注重通过</w:t>
      </w:r>
      <w:r>
        <w:rPr>
          <w:rFonts w:hint="eastAsia"/>
          <w:sz w:val="24"/>
          <w:szCs w:val="24"/>
          <w:lang w:val="en-US" w:eastAsia="zh-CN"/>
        </w:rPr>
        <w:t>创作创新</w:t>
      </w:r>
      <w:r>
        <w:rPr>
          <w:rFonts w:hint="default"/>
          <w:sz w:val="24"/>
          <w:szCs w:val="24"/>
          <w:lang w:val="en-US" w:eastAsia="zh-CN"/>
        </w:rPr>
        <w:t>，率先在技术试飞、城市试点与产业孵化等关键环节实现实质性进展，正逐步形成可复制、可扩展的区域示范模式。</w:t>
      </w:r>
    </w:p>
    <w:p w14:paraId="1BE4EA0A">
      <w:pPr>
        <w:rPr>
          <w:rFonts w:hint="default"/>
          <w:sz w:val="24"/>
          <w:szCs w:val="24"/>
          <w:lang w:val="en-US" w:eastAsia="zh-CN"/>
        </w:rPr>
      </w:pPr>
    </w:p>
    <w:p w14:paraId="540DEFF4">
      <w:pPr>
        <w:rPr>
          <w:rFonts w:hint="default"/>
          <w:sz w:val="24"/>
          <w:szCs w:val="24"/>
          <w:lang w:val="en-US" w:eastAsia="zh-CN"/>
        </w:rPr>
      </w:pPr>
      <w:r>
        <w:rPr>
          <w:rFonts w:hint="default"/>
          <w:sz w:val="24"/>
          <w:szCs w:val="24"/>
          <w:lang w:val="en-US" w:eastAsia="zh-CN"/>
        </w:rPr>
        <w:t>日本通过“空中移动革命路线图”构建明确的阶段性发展目标与标准体系，推动城市与偏远地区的eVTOL运营布局。韩国则以“K-UAM蓝图”为核心，在首尔-仁川构建跨城低空航线网络，搭建了具有本土化特色的“政产学研”推进体系。在企业层面，SkyDrive、PLANA 等一批本土企业已实现从样机研发到试飞演示的初步闭环，部分城市如东京、大阪、釜山率先启动UAM场景化验证，标志着亚洲在低空经济全球竞争中正在由“追随者”向“突破者”角色转变。</w:t>
      </w:r>
    </w:p>
    <w:p w14:paraId="19DAB06A">
      <w:pPr>
        <w:rPr>
          <w:rFonts w:hint="default"/>
          <w:sz w:val="24"/>
          <w:szCs w:val="24"/>
          <w:lang w:val="en-US" w:eastAsia="zh-CN"/>
        </w:rPr>
      </w:pPr>
    </w:p>
    <w:p w14:paraId="0083483C">
      <w:pPr>
        <w:rPr>
          <w:rFonts w:hint="default"/>
          <w:sz w:val="24"/>
          <w:szCs w:val="24"/>
          <w:lang w:val="en-US" w:eastAsia="zh-CN"/>
        </w:rPr>
      </w:pPr>
      <w:r>
        <w:rPr>
          <w:rFonts w:hint="default"/>
          <w:sz w:val="24"/>
          <w:szCs w:val="24"/>
          <w:lang w:val="en-US" w:eastAsia="zh-CN"/>
        </w:rPr>
        <w:t>日本当前未制定成文的eVTOL适航分类规章，主要采用“一事一议”的个案审定机制，由国土交通省（MLIT）与日本民航局（JCAB）对每一型号单独设定审定基础。2025年2月，SkyDrive宣布其三座eVTOL机型SD-5已确立G-1审定基础，标志着日本率先在适航程序层面取得实质进展，并计划于2025年大阪世博会期间实现演示飞行。这一项目不仅是技术验证，更是国家级城市空中交通（UAM）战略的示范工程，体现了“政策-技术-场景”协同驱动的突破路径。</w:t>
      </w:r>
    </w:p>
    <w:p w14:paraId="18B488FF">
      <w:pPr>
        <w:rPr>
          <w:rFonts w:hint="default"/>
          <w:sz w:val="24"/>
          <w:szCs w:val="24"/>
          <w:lang w:val="en-US" w:eastAsia="zh-CN"/>
        </w:rPr>
      </w:pPr>
    </w:p>
    <w:p w14:paraId="612D9C58">
      <w:pPr>
        <w:rPr>
          <w:rFonts w:hint="default"/>
          <w:sz w:val="24"/>
          <w:szCs w:val="24"/>
          <w:lang w:val="en-US" w:eastAsia="zh-CN"/>
        </w:rPr>
      </w:pPr>
      <w:r>
        <w:rPr>
          <w:rFonts w:hint="default"/>
          <w:sz w:val="24"/>
          <w:szCs w:val="24"/>
          <w:lang w:val="en-US" w:eastAsia="zh-CN"/>
        </w:rPr>
        <w:t>相较之下，韩国尚未出台专门适用于eVTOL的适航规章，监管体系仍以传统有人机标准或无人机通用规范为主。在此背景下，韩国本土企业采取“对外对标”策略，主动对接FAA等国际适航体系（如Part 23、Part 27），以提前满足全球市场准入标准。这一做法虽仍依赖外部规则体系，但也为后续制度本土化积累了技术与合规经验。</w:t>
      </w:r>
    </w:p>
    <w:p w14:paraId="1ACECF3C">
      <w:pPr>
        <w:rPr>
          <w:rFonts w:hint="default"/>
          <w:sz w:val="24"/>
          <w:szCs w:val="24"/>
          <w:lang w:val="en-US" w:eastAsia="zh-CN"/>
        </w:rPr>
      </w:pPr>
    </w:p>
    <w:p w14:paraId="20F43883">
      <w:pPr>
        <w:rPr>
          <w:rFonts w:hint="default"/>
          <w:sz w:val="24"/>
          <w:szCs w:val="24"/>
          <w:lang w:val="en-US" w:eastAsia="zh-CN"/>
        </w:rPr>
      </w:pPr>
      <w:r>
        <w:rPr>
          <w:rFonts w:hint="default"/>
          <w:sz w:val="24"/>
          <w:szCs w:val="24"/>
          <w:lang w:val="en-US" w:eastAsia="zh-CN"/>
        </w:rPr>
        <w:t>日韩虽尚未完成制度体系化建设，却已分别在“个案审定”与“国际对标”两个路径上形成突破先机，正以应用导向推动适航机制从无到有、从试点向标准演进，体现出亚洲作为全球eVTOL监管创新的重要突破口与制度实验场的战略潜力。</w:t>
      </w:r>
    </w:p>
    <w:p w14:paraId="69438AB5">
      <w:pPr>
        <w:rPr>
          <w:rFonts w:hint="default"/>
          <w:lang w:val="en-US" w:eastAsia="zh-CN"/>
        </w:rPr>
      </w:pPr>
    </w:p>
    <w:p w14:paraId="109D6F26">
      <w:pPr>
        <w:rPr>
          <w:rFonts w:hint="default"/>
          <w:sz w:val="24"/>
          <w:szCs w:val="24"/>
          <w:lang w:val="en-US" w:eastAsia="zh-CN"/>
        </w:rPr>
      </w:pPr>
      <w:r>
        <w:rPr>
          <w:rFonts w:hint="default"/>
          <w:sz w:val="24"/>
          <w:szCs w:val="24"/>
          <w:lang w:val="en-US" w:eastAsia="zh-CN"/>
        </w:rPr>
        <w:t>在推动低空经济，特别是eVTOL（电动垂直起降飞行器）技术发展方面，日韩正通过“技术突破—场景驱动—国际化布局”的路径，逐步成为全球竞争格局中的关键突破口。两国在政府战略引导下，培育出一批具有国际竞争力的企业，覆盖整机研发、电动推进、飞控系统及城市空中交通（UAM）试点等关键环节。日本的SkyDrive计划于2025年大阪世博会推出双座eVTOL服务，并同步推进美日两地适航认证，成为国家级UAM示范工程；Toyota与NEC则围绕电动推进与飞控平台提供产业支撑。韩国方面，现代汽车集团旗下Supernal开发S-A1机型，构建从飞行器到Vertiport的一体化运营方案；KAI与Plana则分别聚焦于军用eVTOL与中长距混合动力方案，强化区域拓展与军民融合能力。整体而言，日韩通过“政策牵引+技术多元+场景落地”的协同机制，率先在亚洲构建起具备原始创新能力和市场适配能力的低空经济产业体系，加速从验证走向应用，正日益展现出全球eVTOL发展的“亚洲突破口”地位。</w:t>
      </w:r>
    </w:p>
    <w:p w14:paraId="58959E50">
      <w:pPr>
        <w:rPr>
          <w:rFonts w:hint="default"/>
          <w:lang w:val="en-US" w:eastAsia="zh-CN"/>
        </w:rPr>
      </w:pPr>
    </w:p>
    <w:p w14:paraId="6290B9AD">
      <w:pPr>
        <w:rPr>
          <w:rFonts w:hint="default"/>
          <w:lang w:val="en-US" w:eastAsia="zh-CN"/>
        </w:rPr>
      </w:pPr>
    </w:p>
    <w:p w14:paraId="43A0E52D">
      <w:pPr>
        <w:rPr>
          <w:rFonts w:hint="default"/>
          <w:lang w:val="en-US" w:eastAsia="zh-CN"/>
        </w:rPr>
      </w:pPr>
    </w:p>
    <w:p w14:paraId="758271B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EFE85E5"/>
    <w:rsid w:val="8EFE8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27</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2025-05-13T14:46:00Z</dcterms:created>
  <dc:creator>果果</dc:creator>
  <cp:lastModifiedBy>果果</cp:lastModifiedBy>
  <dcterms:modified xsi:type="dcterms:W3CDTF">2025-05-13T16:53:31Z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12B3FD3DA9FDCA09D3EA2268A19DB3B7_41</vt:lpwstr>
  </property>
</Properties>
</file>