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A55269A">
      <w:pPr>
        <w:pStyle w:val="5"/>
        <w:keepNext w:val="0"/>
        <w:keepLines w:val="0"/>
        <w:widowControl/>
        <w:numPr>
          <w:ilvl w:val="0"/>
          <w:numId w:val="1"/>
        </w:numPr>
        <w:suppressLineNumbers w:val="0"/>
        <w:rPr>
          <w:rFonts w:hint="default" w:ascii="Times New Roman Bold" w:hAnsi="Times New Roman Bold" w:cs="Times New Roman Bold" w:eastAsiaTheme="minorEastAsia"/>
          <w:b/>
          <w:bCs/>
          <w:lang w:val="en-US" w:eastAsia="zh-CN"/>
        </w:rPr>
      </w:pPr>
      <w:r>
        <w:rPr>
          <w:rFonts w:hint="default" w:ascii="Times New Roman Bold" w:hAnsi="Times New Roman Bold" w:cs="Times New Roman Bold"/>
          <w:b/>
          <w:bCs/>
        </w:rPr>
        <w:t>Transition Section</w:t>
      </w:r>
    </w:p>
    <w:p w14:paraId="0E926F33">
      <w:pPr>
        <w:rPr>
          <w:rFonts w:hint="default" w:ascii="Times New Roman Regular" w:hAnsi="Times New Roman Regular" w:cs="Times New Roman Regular"/>
        </w:rPr>
      </w:pPr>
      <w:r>
        <w:rPr>
          <w:rFonts w:hint="default" w:ascii="Times New Roman Regular" w:hAnsi="Times New Roman Regular" w:cs="Times New Roman Regular"/>
        </w:rPr>
        <w:t>After a detailed discussion on the successful application of generative AI in enhancing customer service and marketing efficiency through Amazon’s Rufus, we can further observe that this advanced technology has demonstrated significant potential not only in external customer service but also in internal enterprise management. Particularly, in the areas of employee mental health and emotional well-being, the application of generative AI exhibits both innovation and foresight. This shift from external to internal applications positions generative AI not merely as a customer service tool but as a transformative asset in enterprise management, especially when seamlessly inte</w:t>
      </w:r>
      <w:bookmarkStart w:id="0" w:name="_GoBack"/>
      <w:bookmarkEnd w:id="0"/>
      <w:r>
        <w:rPr>
          <w:rFonts w:hint="default" w:ascii="Times New Roman Regular" w:hAnsi="Times New Roman Regular" w:cs="Times New Roman Regular"/>
        </w:rPr>
        <w:t>grated into HR systems to elevate overall management efficiency.</w:t>
      </w:r>
    </w:p>
    <w:p w14:paraId="3B94698F">
      <w:pPr>
        <w:rPr>
          <w:rFonts w:hint="default" w:ascii="Times New Roman Regular" w:hAnsi="Times New Roman Regular" w:cs="Times New Roman Regular"/>
        </w:rPr>
      </w:pPr>
    </w:p>
    <w:p w14:paraId="789CA7BB">
      <w:pPr>
        <w:pStyle w:val="2"/>
        <w:keepNext w:val="0"/>
        <w:keepLines w:val="0"/>
        <w:widowControl/>
        <w:numPr>
          <w:ilvl w:val="0"/>
          <w:numId w:val="1"/>
        </w:numPr>
        <w:suppressLineNumbers w:val="0"/>
        <w:spacing w:before="0" w:beforeAutospacing="0" w:after="0" w:afterAutospacing="0"/>
        <w:ind w:left="0" w:leftChars="0" w:right="0" w:firstLine="0" w:firstLineChars="0"/>
        <w:jc w:val="left"/>
        <w:rPr>
          <w:rFonts w:hint="default" w:ascii="Times New Roman Bold" w:hAnsi="Times New Roman Bold" w:cs="Times New Roman Bold"/>
          <w:b/>
          <w:bCs/>
          <w:lang w:val="en-US"/>
        </w:rPr>
      </w:pPr>
      <w:r>
        <w:rPr>
          <w:rFonts w:hint="default" w:ascii="Times New Roman Bold" w:hAnsi="Times New Roman Bold" w:eastAsia=".sf ns" w:cs="Times New Roman Bold"/>
          <w:b/>
          <w:bCs/>
          <w:color w:val="0E0E0E"/>
          <w:kern w:val="0"/>
          <w:sz w:val="28"/>
          <w:szCs w:val="28"/>
          <w:lang w:val="en-US" w:eastAsia="zh-CN" w:bidi="ar"/>
        </w:rPr>
        <w:t>Social Background</w:t>
      </w:r>
    </w:p>
    <w:p w14:paraId="015011EE">
      <w:pPr>
        <w:rPr>
          <w:rFonts w:hint="default" w:ascii="Times New Roman Regular" w:hAnsi="Times New Roman Regular" w:cs="Times New Roman Regular"/>
        </w:rPr>
      </w:pPr>
      <w:r>
        <w:rPr>
          <w:rFonts w:hint="default" w:ascii="Times New Roman Regular" w:hAnsi="Times New Roman Regular" w:cs="Times New Roman Regular"/>
        </w:rPr>
        <w:t>As attention to employee mental health continues to grow, demand for mental health support systems within organizations is rapidly increasing. Mental health issues not only affect individual well-being but also impact organizational productivity and contribute to higher turnover rates</w:t>
      </w:r>
      <w:r>
        <w:rPr>
          <w:rFonts w:hint="eastAsia" w:ascii="Times New Roman Regular" w:hAnsi="Times New Roman Regular" w:cs="Times New Roman Regular"/>
          <w:lang w:val="en-US" w:eastAsia="zh-CN"/>
        </w:rPr>
        <w:t xml:space="preserve"> </w:t>
      </w:r>
      <w:r>
        <w:rPr>
          <w:rFonts w:hint="default" w:ascii="Times New Roman Regular" w:hAnsi="Times New Roman Regular" w:cs="Times New Roman Regular"/>
          <w:lang w:val="en-US"/>
        </w:rPr>
        <w:t xml:space="preserve">(Cao </w:t>
      </w:r>
      <w:r>
        <w:rPr>
          <w:rFonts w:hint="default" w:ascii="Times New Roman Italic" w:hAnsi="Times New Roman Italic" w:cs="Times New Roman Italic"/>
          <w:i/>
          <w:iCs/>
          <w:lang w:val="en-US"/>
        </w:rPr>
        <w:t>et al.</w:t>
      </w:r>
      <w:r>
        <w:rPr>
          <w:rFonts w:hint="default" w:ascii="Times New Roman Regular" w:hAnsi="Times New Roman Regular" w:cs="Times New Roman Regular"/>
          <w:lang w:val="en-US"/>
        </w:rPr>
        <w:t>, 2023)</w:t>
      </w:r>
      <w:r>
        <w:rPr>
          <w:rFonts w:hint="default" w:ascii="Times New Roman Regular" w:hAnsi="Times New Roman Regular" w:cs="Times New Roman Regular"/>
        </w:rPr>
        <w:t>. The rapid advancements in generative artificial intelligence (AI) and natural language processing (NLP) offer a cost-effective solution. Through the PEST model, we can observe that in the realm of legal policies, stringent data privacy regulations increase compliance costs but simultaneously drive stronger data security practices. Economically, the high costs associated with productivity losses and employee turnover make AI-based support a cost-effective alternative, reducing reliance on human resources. From a societal perspective, the rising expectations around corporate social responsibility (CSR) position generative AI as an effective tool to demonstrate care for employees, enhancing corporate branding and improving talent retention. Technologically, advancements in generative AI and NLP enable precise emotion recognition and real-time response, allowing for seamless, personalized support</w:t>
      </w:r>
      <w:r>
        <w:rPr>
          <w:rFonts w:hint="default" w:ascii="Times New Roman Regular" w:hAnsi="Times New Roman Regular" w:cs="Times New Roman Regular"/>
          <w:lang w:val="en-US"/>
        </w:rPr>
        <w:t xml:space="preserve"> (Hagos </w:t>
      </w:r>
      <w:r>
        <w:rPr>
          <w:rFonts w:hint="default" w:ascii="Times New Roman Italic" w:hAnsi="Times New Roman Italic" w:cs="Times New Roman Italic"/>
          <w:i/>
          <w:iCs/>
          <w:lang w:val="en-US"/>
        </w:rPr>
        <w:t>et al.</w:t>
      </w:r>
      <w:r>
        <w:rPr>
          <w:rFonts w:hint="default" w:ascii="Times New Roman Regular" w:hAnsi="Times New Roman Regular" w:cs="Times New Roman Regular"/>
          <w:lang w:val="en-US"/>
        </w:rPr>
        <w:t>, 2024)</w:t>
      </w:r>
      <w:r>
        <w:rPr>
          <w:rFonts w:hint="default" w:ascii="Times New Roman Regular" w:hAnsi="Times New Roman Regular" w:cs="Times New Roman Regular"/>
        </w:rPr>
        <w:t>. Consequently, generative AI chatbots, when integrated into HR systems, hold significant commercial potential.</w:t>
      </w:r>
    </w:p>
    <w:p w14:paraId="4B628299">
      <w:pPr>
        <w:rPr>
          <w:rFonts w:hint="default" w:ascii="Times New Roman Regular" w:hAnsi="Times New Roman Regular" w:cs="Times New Roman Regular"/>
        </w:rPr>
      </w:pPr>
    </w:p>
    <w:p w14:paraId="3591B0C3">
      <w:pPr>
        <w:pStyle w:val="2"/>
        <w:keepNext w:val="0"/>
        <w:keepLines w:val="0"/>
        <w:widowControl/>
        <w:numPr>
          <w:ilvl w:val="0"/>
          <w:numId w:val="1"/>
        </w:numPr>
        <w:suppressLineNumbers w:val="0"/>
        <w:spacing w:before="0" w:beforeAutospacing="0" w:after="0" w:afterAutospacing="0"/>
        <w:ind w:left="0" w:leftChars="0" w:right="0" w:firstLine="0" w:firstLineChars="0"/>
        <w:jc w:val="left"/>
        <w:rPr>
          <w:rFonts w:hint="default" w:ascii="Times New Roman Bold" w:hAnsi="Times New Roman Bold" w:cs="Times New Roman Bold"/>
          <w:b/>
          <w:bCs/>
          <w:lang w:val="en-US" w:eastAsia="zh-CN"/>
        </w:rPr>
      </w:pPr>
      <w:r>
        <w:rPr>
          <w:rFonts w:hint="default" w:ascii="Times New Roman Bold" w:hAnsi="Times New Roman Bold" w:eastAsia=".sf ns" w:cs="Times New Roman Bold"/>
          <w:b/>
          <w:bCs/>
          <w:color w:val="0E0E0E"/>
          <w:kern w:val="0"/>
          <w:sz w:val="28"/>
          <w:szCs w:val="28"/>
          <w:lang w:val="en-US" w:eastAsia="zh-CN" w:bidi="ar"/>
        </w:rPr>
        <w:t>Chatbot Function Introduction</w:t>
      </w:r>
    </w:p>
    <w:p w14:paraId="17B316E9">
      <w:pPr>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This study explores a generative AI chatbot specifically tailored for workplace applications to support employee mental health through two key functions. First, the chatbot provides 24/7 emotional support, allowing all company employees to proactively seek out and engage in conversation at any time to relieve work-related stress.</w:t>
      </w:r>
      <w:r>
        <w:rPr>
          <w:rFonts w:hint="eastAsia" w:ascii="Times New Roman Regular" w:hAnsi="Times New Roman Regular" w:cs="Times New Roman Regular"/>
          <w:lang w:val="en-US" w:eastAsia="zh-CN"/>
        </w:rPr>
        <w:t xml:space="preserve"> </w:t>
      </w:r>
      <w:r>
        <w:rPr>
          <w:rFonts w:hint="default" w:ascii="Times New Roman Regular" w:hAnsi="Times New Roman Regular" w:cs="Times New Roman Regular"/>
          <w:lang w:val="en-US" w:eastAsia="zh-CN"/>
        </w:rPr>
        <w:t xml:space="preserve">This stress-free communication channel helps alleviate workplace tension, preventing the accumulation of psychological issues, thus promoting overall mental health, enhancing productivity, and ultimately improving company performance (Chen </w:t>
      </w:r>
      <w:r>
        <w:rPr>
          <w:rFonts w:hint="default" w:ascii="Times New Roman Italic" w:hAnsi="Times New Roman Italic" w:cs="Times New Roman Italic"/>
          <w:i/>
          <w:iCs/>
          <w:lang w:val="en-US" w:eastAsia="zh-CN"/>
        </w:rPr>
        <w:t>et al.</w:t>
      </w:r>
      <w:r>
        <w:rPr>
          <w:rFonts w:hint="default" w:ascii="Times New Roman Regular" w:hAnsi="Times New Roman Regular" w:cs="Times New Roman Regular"/>
          <w:lang w:val="en-US" w:eastAsia="zh-CN"/>
        </w:rPr>
        <w:t>, 2022). Second, the AI chatbot can actively analyze employees’ emotional states by accessing and processing interactions from company communication software. It can then offer personalized recommendations, such as mental health resources or guided relaxation exercises like deep breathing. This proactive, customized support not only saves employees time and effort but also assists them in managing emotional challenges in real time. More critically, it provides emotional value that strengthens team cohesion.</w:t>
      </w:r>
    </w:p>
    <w:p w14:paraId="5C642836">
      <w:pPr>
        <w:rPr>
          <w:rFonts w:hint="default" w:ascii="Times New Roman Regular" w:hAnsi="Times New Roman Regular" w:cs="Times New Roman Regular"/>
          <w:lang w:val="en-US" w:eastAsia="zh-CN"/>
        </w:rPr>
      </w:pPr>
    </w:p>
    <w:p w14:paraId="52E73924">
      <w:pPr>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For managers, the AI chatbot provides two essential features that enhance management advantages within the organization. On one hand, generative AI collects and analyzes emotional data from daily interactions, generating reports on team or departmental emotional trends. With this data, management can proactively monitor emotional shifts, identify potential issues or mental health crises, and implement effective interventions.On the other hand, the generative AI’s proactive and automated emotional support, along with routine employee check-ins, minimizes the need for direct management involvement in mental health support, thereby reducing human resource costs.</w:t>
      </w:r>
      <w:r>
        <w:rPr>
          <w:rFonts w:hint="eastAsia" w:ascii="Times New Roman Regular" w:hAnsi="Times New Roman Regular" w:cs="Times New Roman Regular"/>
          <w:lang w:val="en-US" w:eastAsia="zh-CN"/>
        </w:rPr>
        <w:t xml:space="preserve"> </w:t>
      </w:r>
      <w:r>
        <w:rPr>
          <w:rFonts w:hint="default" w:ascii="Times New Roman Regular" w:hAnsi="Times New Roman Regular" w:cs="Times New Roman Regular"/>
          <w:lang w:val="en-US" w:eastAsia="zh-CN"/>
        </w:rPr>
        <w:t>This enables managers to focus on more complex tasks, better understand employee needs and concerns, and make timely policy adjustments to enhance employee satisfaction and retention.</w:t>
      </w:r>
    </w:p>
    <w:p w14:paraId="75056DAF">
      <w:pPr>
        <w:rPr>
          <w:rFonts w:hint="default" w:ascii="Times New Roman Regular" w:hAnsi="Times New Roman Regular" w:cs="Times New Roman Regular"/>
          <w:lang w:val="en-US" w:eastAsia="zh-CN"/>
        </w:rPr>
      </w:pPr>
    </w:p>
    <w:p w14:paraId="1C6505AA">
      <w:pPr>
        <w:pStyle w:val="2"/>
        <w:keepNext w:val="0"/>
        <w:keepLines w:val="0"/>
        <w:widowControl/>
        <w:numPr>
          <w:ilvl w:val="0"/>
          <w:numId w:val="1"/>
        </w:numPr>
        <w:suppressLineNumbers w:val="0"/>
        <w:spacing w:before="0" w:beforeAutospacing="0" w:after="0" w:afterAutospacing="0"/>
        <w:ind w:left="0" w:leftChars="0" w:right="0" w:firstLine="0" w:firstLineChars="0"/>
        <w:jc w:val="left"/>
        <w:rPr>
          <w:rFonts w:hint="default" w:ascii="Times New Roman Bold" w:hAnsi="Times New Roman Bold" w:cs="Times New Roman Bold"/>
          <w:b/>
          <w:bCs/>
          <w:lang w:val="en-US" w:eastAsia="zh-CN"/>
        </w:rPr>
      </w:pPr>
      <w:r>
        <w:rPr>
          <w:rFonts w:hint="default" w:ascii="Times New Roman Bold" w:hAnsi="Times New Roman Bold" w:eastAsia=".sf ns" w:cs="Times New Roman Bold"/>
          <w:b/>
          <w:bCs/>
          <w:color w:val="0E0E0E"/>
          <w:kern w:val="0"/>
          <w:sz w:val="28"/>
          <w:szCs w:val="28"/>
          <w:lang w:val="en-US" w:eastAsia="zh-CN" w:bidi="ar"/>
        </w:rPr>
        <w:t>Critical Analysis</w:t>
      </w:r>
    </w:p>
    <w:p w14:paraId="1C559AFD">
      <w:pPr>
        <w:rPr>
          <w:rFonts w:hint="default" w:ascii="Times New Roman Bold" w:hAnsi="Times New Roman Bold" w:cs="Times New Roman Bold"/>
          <w:b/>
          <w:bCs/>
          <w:sz w:val="24"/>
          <w:szCs w:val="32"/>
          <w:lang w:val="en-US" w:eastAsia="zh-CN"/>
        </w:rPr>
      </w:pPr>
      <w:r>
        <w:rPr>
          <w:rFonts w:hint="default" w:ascii="Times New Roman Bold" w:hAnsi="Times New Roman Bold" w:cs="Times New Roman Bold"/>
          <w:b/>
          <w:bCs/>
          <w:sz w:val="24"/>
          <w:szCs w:val="32"/>
          <w:lang w:val="en-US" w:eastAsia="zh-CN"/>
        </w:rPr>
        <w:t>4.1 Critical Analysis from the Employee Perspective</w:t>
      </w:r>
    </w:p>
    <w:p w14:paraId="2D40BEB9">
      <w:pPr>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 xml:space="preserve">For employees, generative AI provides around-the-clock mental support without the concern that emotional disclosure might negatively impact their career development. This private channel for emotional expression greatly enhances job satisfaction, mental well-being, and a sense of belonging. When employees encounter stress, they can easily seek support through the system, helping them maintain a positive outlook and sustain productivity. Additionally, enabling employees to view each other’s emotional feedback fosters mutual support and understanding, creating an inclusive and empathetic work environment. According to social support theory (Smit </w:t>
      </w:r>
      <w:r>
        <w:rPr>
          <w:rFonts w:hint="default" w:ascii="Times New Roman Italic" w:hAnsi="Times New Roman Italic" w:cs="Times New Roman Italic"/>
          <w:i/>
          <w:iCs/>
          <w:lang w:val="en-US" w:eastAsia="zh-CN"/>
        </w:rPr>
        <w:t>et al.</w:t>
      </w:r>
      <w:r>
        <w:rPr>
          <w:rFonts w:hint="default" w:ascii="Times New Roman Regular" w:hAnsi="Times New Roman Regular" w:cs="Times New Roman Regular"/>
          <w:lang w:val="en-US" w:eastAsia="zh-CN"/>
        </w:rPr>
        <w:t>, 2022), peer understanding and support can significantly improve individual mental health. This relative transparency in emotional expression offers a platform for shared support, helping employees feel understood, especially during challenging times, thereby promoting mental health and teamwork.</w:t>
      </w:r>
    </w:p>
    <w:p w14:paraId="7A37CDF4">
      <w:pPr>
        <w:rPr>
          <w:rFonts w:hint="default" w:ascii="Times New Roman Regular" w:hAnsi="Times New Roman Regular" w:cs="Times New Roman Regular"/>
          <w:lang w:val="en-US" w:eastAsia="zh-CN"/>
        </w:rPr>
      </w:pPr>
    </w:p>
    <w:p w14:paraId="35541767">
      <w:pPr>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 xml:space="preserve">However, the generative AI chatbot also faces certain challenges. Due to variations in emotional expression, differences among employees in how they articulate emotions can inevitably impact the system’s effectiveness. Employees who are more expressive may frequently channel negative emotions through the system, which, according to emotional contagion theory (Jordan </w:t>
      </w:r>
      <w:r>
        <w:rPr>
          <w:rFonts w:hint="default" w:ascii="Times New Roman Italic" w:hAnsi="Times New Roman Italic" w:cs="Times New Roman Italic"/>
          <w:i/>
          <w:iCs/>
          <w:lang w:val="en-US" w:eastAsia="zh-CN"/>
        </w:rPr>
        <w:t>et al.</w:t>
      </w:r>
      <w:r>
        <w:rPr>
          <w:rFonts w:hint="default" w:ascii="Times New Roman Regular" w:hAnsi="Times New Roman Regular" w:cs="Times New Roman Regular"/>
          <w:lang w:val="en-US" w:eastAsia="zh-CN"/>
        </w:rPr>
        <w:t>, 2006), can spread to colleagues and create a tense or subdued atmosphere. This can lead to a negative shift in the team’s overall emotional climate, potentially affecting productivity. Similarly, employees who tend to withhold their emotions may avoid sharing their true feelings out of privacy concerns, limiting the system’s ability to identify potential issues. If the system cannot detect these hidden needs, these employees may face unresolved psychological challenges, reducing the system’s effectiveness.</w:t>
      </w:r>
    </w:p>
    <w:p w14:paraId="73CBB07C">
      <w:pPr>
        <w:rPr>
          <w:rFonts w:hint="default" w:ascii="Times New Roman Regular" w:hAnsi="Times New Roman Regular" w:cs="Times New Roman Regular"/>
          <w:lang w:val="en-US" w:eastAsia="zh-CN"/>
        </w:rPr>
      </w:pPr>
    </w:p>
    <w:p w14:paraId="3B0CE242">
      <w:pPr>
        <w:rPr>
          <w:rFonts w:hint="default" w:ascii="Times New Roman Bold" w:hAnsi="Times New Roman Bold" w:cs="Times New Roman Bold"/>
          <w:b/>
          <w:bCs/>
          <w:sz w:val="24"/>
          <w:szCs w:val="32"/>
          <w:lang w:val="en-US" w:eastAsia="zh-CN"/>
        </w:rPr>
      </w:pPr>
      <w:r>
        <w:rPr>
          <w:rFonts w:hint="default" w:ascii="Times New Roman Bold" w:hAnsi="Times New Roman Bold" w:cs="Times New Roman Bold"/>
          <w:b/>
          <w:bCs/>
          <w:sz w:val="24"/>
          <w:szCs w:val="32"/>
          <w:lang w:val="en-US" w:eastAsia="zh-CN"/>
        </w:rPr>
        <w:t>4.2 Critical Analysis from the Management Perspective</w:t>
      </w:r>
    </w:p>
    <w:p w14:paraId="73E33C27">
      <w:pPr>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If management has exclusive access to employees’ emotional data, they can offer targeted support based on employees’ stress levels or adverse emotional states, thereby strengthening the bond between leaders and employees. According to Leader-Member Exchange (LMX) theory (Aggarwal et al., 2020), the quality of the relationship between leaders and employees directly impacts organizational climate and performance. Contingency theory (Connelly and Torrence, 2018) further suggests that organizational effectiveness benefits from adapting management approaches to specific circumstances. By leveraging emotional data, management can flexibly adjust intervention strategies to meet diverse team needs, fostering a data-driven, adaptive management style that aligns individual needs with organizational goals while maximizing employee mental well-being.</w:t>
      </w:r>
    </w:p>
    <w:p w14:paraId="2A787853">
      <w:pPr>
        <w:rPr>
          <w:rFonts w:hint="default" w:ascii="Times New Roman Regular" w:hAnsi="Times New Roman Regular" w:cs="Times New Roman Regular"/>
          <w:lang w:val="en-US" w:eastAsia="zh-CN"/>
        </w:rPr>
      </w:pPr>
    </w:p>
    <w:p w14:paraId="28ECACA6">
      <w:pPr>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 xml:space="preserve">However, if employees are aware that management can access their psychological data, they may resist what they perceive as “surveillance.” According to social exchange theory (Chang </w:t>
      </w:r>
      <w:r>
        <w:rPr>
          <w:rFonts w:hint="default" w:ascii="Times New Roman Italic" w:hAnsi="Times New Roman Italic" w:cs="Times New Roman Italic"/>
          <w:i/>
          <w:iCs/>
          <w:lang w:val="en-US" w:eastAsia="zh-CN"/>
        </w:rPr>
        <w:t>et al.</w:t>
      </w:r>
      <w:r>
        <w:rPr>
          <w:rFonts w:hint="default" w:ascii="Times New Roman Regular" w:hAnsi="Times New Roman Regular" w:cs="Times New Roman Regular"/>
          <w:lang w:val="en-US" w:eastAsia="zh-CN"/>
        </w:rPr>
        <w:t>, 2015), the relationship between employees and the organization is built on mutual trust and fairness. If employees feel closely monitored or worry that their emotional data might be misused, they may view the organization as disregarding their privacy, reducing their acceptance of the system. This loss of trust can lead employees to withhold their true emotions, not only diminishing the system’s effectiveness but also indirectly weakening leadership efficacy. This may increase feelings of stress, alienation, and decreased loyalty, negatively impacting relationships with management.</w:t>
      </w:r>
    </w:p>
    <w:p w14:paraId="623E8801">
      <w:pPr>
        <w:rPr>
          <w:rFonts w:hint="default" w:ascii="Times New Roman Regular" w:hAnsi="Times New Roman Regular" w:cs="Times New Roman Regular"/>
          <w:lang w:val="en-US" w:eastAsia="zh-CN"/>
        </w:rPr>
      </w:pPr>
    </w:p>
    <w:p w14:paraId="79D003AE">
      <w:pPr>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Moreover, if some employees discover the existence of psychological reports while others remain unaware, the informed employees may exacerbate misunderstandings and conflicts between management and staff, undermining team trust.</w:t>
      </w:r>
    </w:p>
    <w:p w14:paraId="78DB44AB">
      <w:pPr>
        <w:rPr>
          <w:rFonts w:hint="default" w:ascii="Times New Roman Regular" w:hAnsi="Times New Roman Regular" w:cs="Times New Roman Regular"/>
          <w:lang w:val="en-US" w:eastAsia="zh-CN"/>
        </w:rPr>
      </w:pPr>
    </w:p>
    <w:p w14:paraId="097375C7">
      <w:pPr>
        <w:rPr>
          <w:rFonts w:hint="default" w:ascii="Times New Roman Regular" w:hAnsi="Times New Roman Regular" w:cs="Times New Roman Regular"/>
          <w:lang w:val="en-US" w:eastAsia="zh-CN"/>
        </w:rPr>
      </w:pPr>
    </w:p>
    <w:p w14:paraId="7CF3284E">
      <w:pPr>
        <w:numPr>
          <w:ilvl w:val="0"/>
          <w:numId w:val="1"/>
        </w:numPr>
        <w:ind w:left="0" w:leftChars="0" w:firstLine="0" w:firstLineChars="0"/>
        <w:rPr>
          <w:rFonts w:hint="default" w:ascii="Times New Roman Bold" w:hAnsi="Times New Roman Bold" w:cs="Times New Roman Bold"/>
          <w:b/>
          <w:bCs/>
          <w:sz w:val="28"/>
          <w:szCs w:val="36"/>
          <w:lang w:val="en-US" w:eastAsia="zh-CN"/>
        </w:rPr>
      </w:pPr>
      <w:r>
        <w:rPr>
          <w:rFonts w:hint="default" w:ascii="Times New Roman Bold" w:hAnsi="Times New Roman Bold" w:cs="Times New Roman Bold"/>
          <w:b/>
          <w:bCs/>
          <w:sz w:val="28"/>
          <w:szCs w:val="36"/>
          <w:lang w:val="en-US" w:eastAsia="zh-CN"/>
        </w:rPr>
        <w:t>Reference</w:t>
      </w:r>
    </w:p>
    <w:p w14:paraId="056056B2">
      <w:pPr>
        <w:rPr>
          <w:rFonts w:hint="default" w:ascii="Times New Roman Regular" w:hAnsi="Times New Roman Regular" w:cs="Times New Roman Regular"/>
        </w:rPr>
      </w:pPr>
      <w:r>
        <w:rPr>
          <w:rFonts w:hint="default" w:ascii="Times New Roman Regular" w:hAnsi="Times New Roman Regular" w:cs="Times New Roman Regular"/>
        </w:rPr>
        <w:t xml:space="preserve">Aggarwal, A. et al. (2020) ‘Leader–member exchange, work engagement, and psychological withdrawal behavior: The mediating role of psychological empowerment’, Frontiers in Psychology, 11. doi:10.3389/fpsyg.2020.00423. </w:t>
      </w:r>
    </w:p>
    <w:p w14:paraId="3FC2A081">
      <w:pPr>
        <w:rPr>
          <w:rFonts w:hint="default" w:ascii="Times New Roman Regular" w:hAnsi="Times New Roman Regular" w:cs="Times New Roman Regular"/>
        </w:rPr>
      </w:pPr>
    </w:p>
    <w:p w14:paraId="3DAEF7E9">
      <w:pPr>
        <w:rPr>
          <w:rFonts w:hint="default" w:ascii="Times New Roman Regular" w:hAnsi="Times New Roman Regular" w:cs="Times New Roman Regular"/>
        </w:rPr>
      </w:pPr>
      <w:r>
        <w:rPr>
          <w:rFonts w:hint="default" w:ascii="Times New Roman Regular" w:hAnsi="Times New Roman Regular" w:cs="Times New Roman Regular"/>
        </w:rPr>
        <w:t xml:space="preserve">Cao, X. et al. (2022) ‘The influence of mental health on job satisfaction: Mediating effect of psychological capital and social capital’, Frontiers in Public Health, 10. doi:10.3389/fpubh.2022.797274. </w:t>
      </w:r>
    </w:p>
    <w:p w14:paraId="73E59794">
      <w:pPr>
        <w:rPr>
          <w:rFonts w:hint="default" w:ascii="Times New Roman Regular" w:hAnsi="Times New Roman Regular" w:cs="Times New Roman Regular"/>
        </w:rPr>
      </w:pPr>
    </w:p>
    <w:p w14:paraId="15C5BC24">
      <w:pPr>
        <w:rPr>
          <w:rFonts w:hint="default" w:ascii="Times New Roman Regular" w:hAnsi="Times New Roman Regular" w:cs="Times New Roman Regular"/>
        </w:rPr>
      </w:pPr>
      <w:r>
        <w:rPr>
          <w:rFonts w:hint="default" w:ascii="Times New Roman Regular" w:hAnsi="Times New Roman Regular" w:cs="Times New Roman Regular"/>
        </w:rPr>
        <w:t xml:space="preserve">Chang, S.E., Liu, A.Y. and Lin, S. (2015) ‘Exploring privacy and trust for employee monitoring’, Industrial Management &amp;amp; Data Systems, 115(1), pp. 88–106. doi:10.1108/imds-07-2014-0197. </w:t>
      </w:r>
    </w:p>
    <w:p w14:paraId="1513F7C6">
      <w:pPr>
        <w:rPr>
          <w:rFonts w:hint="default" w:ascii="Times New Roman Regular" w:hAnsi="Times New Roman Regular" w:cs="Times New Roman Regular"/>
        </w:rPr>
      </w:pPr>
      <w:r>
        <w:rPr>
          <w:rFonts w:hint="default" w:ascii="Times New Roman Regular" w:hAnsi="Times New Roman Regular" w:cs="Times New Roman Regular"/>
        </w:rPr>
        <w:t xml:space="preserve">Smit, D. et al. (2022) ‘The effectiveness of peer support for individuals with mental illness: Systematic review and meta-analysis’, Psychological Medicine, 53(11), pp. 5332–5341. doi:10.1017/s0033291722002422. </w:t>
      </w:r>
    </w:p>
    <w:p w14:paraId="17EBB62D">
      <w:pPr>
        <w:rPr>
          <w:rFonts w:hint="default" w:ascii="Times New Roman Regular" w:hAnsi="Times New Roman Regular" w:cs="Times New Roman Regular"/>
        </w:rPr>
      </w:pPr>
    </w:p>
    <w:p w14:paraId="01DF5F99">
      <w:pPr>
        <w:rPr>
          <w:rFonts w:hint="default" w:ascii="Times New Roman Regular" w:hAnsi="Times New Roman Regular" w:cs="Times New Roman Regular"/>
        </w:rPr>
      </w:pPr>
      <w:r>
        <w:rPr>
          <w:rFonts w:hint="default" w:ascii="Times New Roman Regular" w:hAnsi="Times New Roman Regular" w:cs="Times New Roman Regular"/>
        </w:rPr>
        <w:t xml:space="preserve">Chen, B. et al. (2022) ‘Work stress, mental health, and employee performance’, Frontiers in Psychology, 13. doi:10.3389/fpsyg.2022.1006580. </w:t>
      </w:r>
    </w:p>
    <w:p w14:paraId="7BDB495E">
      <w:pPr>
        <w:rPr>
          <w:rFonts w:hint="default" w:ascii="Times New Roman Regular" w:hAnsi="Times New Roman Regular" w:cs="Times New Roman Regular"/>
        </w:rPr>
      </w:pPr>
      <w:r>
        <w:rPr>
          <w:rFonts w:hint="default" w:ascii="Times New Roman Regular" w:hAnsi="Times New Roman Regular" w:cs="Times New Roman Regular"/>
        </w:rPr>
        <w:t xml:space="preserve">Connelly, S. and Torrence, B.S. (2018) ‘The relevance of discrete emotional experiences for human resource management: Connecting positive and negative emotions to HRM’, Research in Personnel and Human Resources Management, pp. 1–49. doi:10.1108/s0742-730120180000036001. </w:t>
      </w:r>
      <w:r>
        <w:rPr>
          <w:rFonts w:hint="default" w:ascii="Times New Roman Regular" w:hAnsi="Times New Roman Regular" w:cs="Times New Roman Regular"/>
        </w:rPr>
        <w:br w:type="textWrapping"/>
      </w:r>
    </w:p>
    <w:p w14:paraId="39BD6A1C">
      <w:pPr>
        <w:rPr>
          <w:rFonts w:hint="default" w:ascii="Times New Roman Regular" w:hAnsi="Times New Roman Regular" w:cs="Times New Roman Regular"/>
        </w:rPr>
      </w:pPr>
      <w:r>
        <w:rPr>
          <w:rFonts w:hint="default" w:ascii="Times New Roman Regular" w:hAnsi="Times New Roman Regular" w:cs="Times New Roman Regular"/>
        </w:rPr>
        <w:t>Hagos, D.H., Battle, R. and Rawat, D.B. (2024) ‘Recent advances in Generative AI and large language models: Current status, Challenges, and perspectives’, IEEE Transactions on Artificial Intelligence, pp. 1–21. doi:10.1109/tai.2024.3444742.</w:t>
      </w:r>
    </w:p>
    <w:p w14:paraId="5B63B366">
      <w:pPr>
        <w:rPr>
          <w:rFonts w:hint="default" w:ascii="Times New Roman Regular" w:hAnsi="Times New Roman Regular" w:cs="Times New Roman Regular"/>
        </w:rPr>
      </w:pPr>
    </w:p>
    <w:p w14:paraId="220FEF05">
      <w:pPr>
        <w:rPr>
          <w:rFonts w:hint="default" w:ascii="Times New Roman Regular" w:hAnsi="Times New Roman Regular" w:cs="Times New Roman Regular"/>
        </w:rPr>
      </w:pPr>
      <w:r>
        <w:rPr>
          <w:rFonts w:hint="default" w:ascii="Times New Roman Regular" w:hAnsi="Times New Roman Regular" w:cs="Times New Roman Regular"/>
        </w:rPr>
        <w:t xml:space="preserve">Jordan, P.J., Lawrence, S.A. and Troth, A.C. (2006) ‘The impact of negative mood on Team Performance’, Journal of Management &amp;amp; Organization, 12(2), pp. 131–145. doi:10.5172/jmo.2006.12.2.131.  </w:t>
      </w:r>
    </w:p>
    <w:p w14:paraId="46618A57">
      <w:pPr>
        <w:rPr>
          <w:rFonts w:hint="default" w:ascii="Times New Roman Regular" w:hAnsi="Times New Roman Regular" w:cs="Times New Roman Regular"/>
        </w:rPr>
      </w:pPr>
    </w:p>
    <w:p w14:paraId="5532B290">
      <w:pPr>
        <w:rPr>
          <w:rFonts w:hint="default" w:ascii="Times New Roman Regular" w:hAnsi="Times New Roman Regular" w:cs="Times New Roman Regular"/>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sf ns">
    <w:panose1 w:val="02020503050405090304"/>
    <w:charset w:val="00"/>
    <w:family w:val="auto"/>
    <w:pitch w:val="default"/>
    <w:sig w:usb0="E0000AFF" w:usb1="00007843" w:usb2="00000001" w:usb3="00000000" w:csb0="400001BF" w:csb1="DFF70000"/>
  </w:font>
  <w:font w:name="Times New Roman Bold">
    <w:panose1 w:val="02020503050405090304"/>
    <w:charset w:val="00"/>
    <w:family w:val="auto"/>
    <w:pitch w:val="default"/>
    <w:sig w:usb0="E0000AFF" w:usb1="00007843" w:usb2="00000001" w:usb3="00000000" w:csb0="400001BF" w:csb1="DFF70000"/>
  </w:font>
  <w:font w:name="Times New Roman Regular">
    <w:panose1 w:val="02020503050405090304"/>
    <w:charset w:val="00"/>
    <w:family w:val="auto"/>
    <w:pitch w:val="default"/>
    <w:sig w:usb0="E0000AFF" w:usb1="00007843" w:usb2="00000001" w:usb3="00000000" w:csb0="400001BF" w:csb1="DFF70000"/>
  </w:font>
  <w:font w:name="Times New Roman Italic">
    <w:panose1 w:val="02020503050405090304"/>
    <w:charset w:val="00"/>
    <w:family w:val="auto"/>
    <w:pitch w:val="default"/>
    <w:sig w:usb0="E0000AFF" w:usb1="00007843" w:usb2="00000001" w:usb3="00000000" w:csb0="400001BF" w:csb1="DFF70000"/>
  </w:font>
  <w:font w:name="汉仪书宋二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Helvetica Neue">
    <w:panose1 w:val="02000503000000020004"/>
    <w:charset w:val="00"/>
    <w:family w:val="auto"/>
    <w:pitch w:val="default"/>
    <w:sig w:usb0="E50002FF" w:usb1="500079DB" w:usb2="0000001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761BDBF"/>
    <w:multiLevelType w:val="singleLevel"/>
    <w:tmpl w:val="F761BDBF"/>
    <w:lvl w:ilvl="0" w:tentative="0">
      <w:start w:val="1"/>
      <w:numFmt w:val="decimal"/>
      <w:suff w:val="space"/>
      <w:lvlText w:val="%1."/>
      <w:lvlJc w:val="left"/>
      <w:rPr>
        <w:rFonts w:hint="default"/>
        <w:sz w:val="28"/>
        <w:szCs w:val="28"/>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9"/>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7ED4E89"/>
    <w:rsid w:val="6EB7749B"/>
    <w:rsid w:val="77ED4E8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basedOn w:val="1"/>
    <w:uiPriority w:val="0"/>
    <w:rPr>
      <w:sz w:val="24"/>
    </w:rPr>
  </w:style>
  <w:style w:type="paragraph" w:customStyle="1" w:styleId="5">
    <w:name w:val="p1"/>
    <w:basedOn w:val="1"/>
    <w:uiPriority w:val="0"/>
    <w:pPr>
      <w:spacing w:before="0" w:beforeAutospacing="0" w:after="0" w:afterAutospacing="0"/>
      <w:ind w:left="0" w:right="0"/>
      <w:jc w:val="left"/>
    </w:pPr>
    <w:rPr>
      <w:rFonts w:ascii=".sf ns" w:hAnsi=".sf ns" w:eastAsia=".sf ns" w:cs=".sf ns"/>
      <w:color w:val="0E0E0E"/>
      <w:kern w:val="0"/>
      <w:sz w:val="28"/>
      <w:szCs w:val="28"/>
      <w:lang w:val="en-US" w:eastAsia="zh-CN" w:bidi="ar"/>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9</TotalTime>
  <ScaleCrop>false</ScaleCrop>
  <LinksUpToDate>false</LinksUpToDate>
  <CharactersWithSpaces>0</CharactersWithSpaces>
  <Application>WPS Office_6.11.0.8885_F1E327BC-269C-435d-A152-05C5408002CA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2024-10-30T08:05:00Z</dcterms:created>
  <dc:creator>果果</dc:creator>
  <cp:lastModifiedBy>果果</cp:lastModifiedBy>
  <dcterms:modified xsi:type="dcterms:W3CDTF">2024-10-31T22:53:13Z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2052-6.11.0.8885</vt:lpwstr>
  </property>
  <property fmtid="{D5CDD505-2E9C-101B-9397-08002B2CF9AE}" pid="3" name="ICV">
    <vt:lpwstr>76BE1BE202A79737AF07216767964FB6_41</vt:lpwstr>
  </property>
</Properties>
</file>