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bookmarkStart w:id="0" w:name="_GoBack"/>
      <w:bookmarkEnd w:id="0"/>
    </w:p>
    <w:p w14:paraId="359F7A07">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Flow</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mutual fund flow for fund i in month t,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standardized pre-shock AI exposure, and </w:t>
      </w:r>
      <w:r>
        <w:rPr>
          <w:rFonts w:ascii="Times New Roman" w:hAnsi="Times New Roman" w:eastAsia="Times New Roman"/>
          <w:b/>
          <w:i/>
          <w:sz w:val="24"/>
        </w:rPr>
        <w:t>Post</w:t>
      </w:r>
      <w:r>
        <w:rPr>
          <w:rFonts w:ascii="Times New Roman" w:hAnsi="Times New Roman" w:eastAsia="Times New Roman"/>
          <w:b/>
          <w:i/>
          <w:sz w:val="24"/>
          <w:vertAlign w:val="subscript"/>
        </w:rPr>
        <w:t>t</w:t>
      </w:r>
      <w:r>
        <w:rPr>
          <w:rFonts w:ascii="Times New Roman" w:hAnsi="Times New Roman" w:eastAsia="Times New Roman"/>
          <w:i w:val="0"/>
          <w:sz w:val="24"/>
        </w:rPr>
        <w:t xml:space="preserve"> equals one for periods after December 2022. Fund fixed effects (</w:t>
      </w:r>
      <w:r>
        <w:rPr>
          <w:rFonts w:ascii="Times New Roman" w:hAnsi="Times New Roman" w:eastAsia="Times New Roman"/>
          <w:b/>
          <w:i/>
          <w:sz w:val="24"/>
        </w:rPr>
        <w:t>μ</w:t>
      </w:r>
      <w:r>
        <w:rPr>
          <w:rFonts w:ascii="Times New Roman" w:hAnsi="Times New Roman" w:eastAsia="Times New Roman"/>
          <w:b/>
          <w:i/>
          <w:sz w:val="24"/>
          <w:vertAlign w:val="subscript"/>
        </w:rPr>
        <w:t>i</w:t>
      </w:r>
      <w:r>
        <w:rPr>
          <w:rFonts w:ascii="Times New Roman" w:hAnsi="Times New Roman" w:eastAsia="Times New Roman"/>
          <w:i w:val="0"/>
          <w:sz w:val="24"/>
        </w:rPr>
        <w:t>) control for time-invariant fund characteristics, while time fixed effects (</w:t>
      </w:r>
      <w:r>
        <w:rPr>
          <w:rFonts w:ascii="Times New Roman" w:hAnsi="Times New Roman" w:eastAsia="Times New Roman"/>
          <w:b/>
          <w:i/>
          <w:sz w:val="24"/>
        </w:rPr>
        <w:t>λ</w:t>
      </w:r>
      <w:r>
        <w:rPr>
          <w:rFonts w:ascii="Times New Roman" w:hAnsi="Times New Roman" w:eastAsia="Times New Roman"/>
          <w:b/>
          <w:i/>
          <w:sz w:val="24"/>
          <w:vertAlign w:val="subscript"/>
        </w:rPr>
        <w:t>t</w:t>
      </w:r>
      <w:r>
        <w:rPr>
          <w:rFonts w:ascii="Times New Roman" w:hAnsi="Times New Roman" w:eastAsia="Times New Roman"/>
          <w:i w:val="0"/>
          <w:sz w:val="24"/>
        </w:rPr>
        <w:t>) absorb common monthly shocks affecting all funds.</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0" w:line="360"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including:</w:t>
      </w:r>
    </w:p>
    <w:p w14:paraId="7628D44A">
      <w:pPr>
        <w:spacing w:before="0" w:after="0" w:line="360" w:lineRule="auto"/>
        <w:jc w:val="left"/>
      </w:pPr>
    </w:p>
    <w:p w14:paraId="56DF2EB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crsp_fundno</w:t>
      </w:r>
    </w:p>
    <w:p w14:paraId="5462D6C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caldt</w:t>
      </w:r>
    </w:p>
    <w:p w14:paraId="220BC62E">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mtna</w:t>
      </w:r>
    </w:p>
    <w:p w14:paraId="0F61E047">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mret</w:t>
      </w: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w:t>
      </w:r>
      <w:r>
        <w:rPr>
          <w:rFonts w:ascii="Times New Roman" w:hAnsi="Times New Roman" w:eastAsia="Times New Roman"/>
          <w:b/>
          <w:i w:val="0"/>
          <w:sz w:val="24"/>
        </w:rPr>
        <w:t>MKT_RF</w:t>
      </w:r>
      <w:r>
        <w:rPr>
          <w:rFonts w:ascii="Times New Roman" w:hAnsi="Times New Roman" w:eastAsia="Times New Roman"/>
          <w:b w:val="0"/>
          <w:i w:val="0"/>
          <w:sz w:val="24"/>
        </w:rPr>
        <w:t>), size factor (</w:t>
      </w:r>
      <w:r>
        <w:rPr>
          <w:rFonts w:ascii="Times New Roman" w:hAnsi="Times New Roman" w:eastAsia="Times New Roman"/>
          <w:b/>
          <w:i w:val="0"/>
          <w:sz w:val="24"/>
        </w:rPr>
        <w:t>SMB</w:t>
      </w:r>
      <w:r>
        <w:rPr>
          <w:rFonts w:ascii="Times New Roman" w:hAnsi="Times New Roman" w:eastAsia="Times New Roman"/>
          <w:b w:val="0"/>
          <w:i w:val="0"/>
          <w:sz w:val="24"/>
        </w:rPr>
        <w:t>), value factor (</w:t>
      </w:r>
      <w:r>
        <w:rPr>
          <w:rFonts w:ascii="Times New Roman" w:hAnsi="Times New Roman" w:eastAsia="Times New Roman"/>
          <w:b/>
          <w:i w:val="0"/>
          <w:sz w:val="24"/>
        </w:rPr>
        <w:t>HML</w:t>
      </w:r>
      <w:r>
        <w:rPr>
          <w:rFonts w:ascii="Times New Roman" w:hAnsi="Times New Roman" w:eastAsia="Times New Roman"/>
          <w:b w:val="0"/>
          <w:i w:val="0"/>
          <w:sz w:val="24"/>
        </w:rPr>
        <w:t>), and risk-free rate (</w:t>
      </w:r>
      <w:r>
        <w:rPr>
          <w:rFonts w:ascii="Times New Roman" w:hAnsi="Times New Roman" w:eastAsia="Times New Roman"/>
          <w:b/>
          <w:i w:val="0"/>
          <w:sz w:val="24"/>
        </w:rPr>
        <w:t>RF</w:t>
      </w:r>
      <w:r>
        <w:rPr>
          <w:rFonts w:ascii="Times New Roman" w:hAnsi="Times New Roman" w:eastAsia="Times New Roman"/>
          <w:b w:val="0"/>
          <w:i w:val="0"/>
          <w:sz w:val="24"/>
        </w:rPr>
        <w:t>). All percentage values are converted into decimal form before estimation.</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0" w:line="360" w:lineRule="auto"/>
        <w:jc w:val="left"/>
      </w:pPr>
      <w:r>
        <w:rPr>
          <w:rFonts w:ascii="Times New Roman" w:hAnsi="Times New Roman" w:eastAsia="Times New Roman"/>
          <w:b w:val="0"/>
          <w:i w:val="0"/>
          <w:sz w:val="24"/>
        </w:rPr>
        <w:t xml:space="preserve">This measure removes the mechanical effect of investment returns from changes in assets under management and isolates net investor capital flows. To reduce the influence of extreme outliers, the raw flow variable is winsorized at the 1st and 99th percentiles. The winsorized dependent variable is denoted as </w:t>
      </w:r>
      <w:r>
        <w:rPr>
          <w:rFonts w:ascii="Times New Roman" w:hAnsi="Times New Roman" w:eastAsia="Times New Roman"/>
          <w:b/>
          <w:i w:val="0"/>
          <w:sz w:val="24"/>
        </w:rPr>
        <w:t>flow_w</w:t>
      </w:r>
      <w:r>
        <w:rPr>
          <w:rFonts w:ascii="Times New Roman" w:hAnsi="Times New Roman" w:eastAsia="Times New Roman"/>
          <w:b w:val="0"/>
          <w:i w:val="0"/>
          <w:sz w:val="24"/>
        </w:rPr>
        <w:t>.</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0" w:line="360" w:lineRule="auto"/>
        <w:jc w:val="left"/>
      </w:pPr>
      <w:r>
        <w:rPr>
          <w:rFonts w:ascii="Times New Roman" w:hAnsi="Times New Roman" w:eastAsia="Times New Roman"/>
          <w:b w:val="0"/>
          <w:i w:val="0"/>
          <w:sz w:val="24"/>
        </w:rPr>
        <w:t>To examine dynamic effects and evaluate the parallel-trend assumption, this study estimates the following event-study specification:</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0" w:line="360" w:lineRule="auto"/>
        <w:jc w:val="left"/>
      </w:pPr>
      <w:r>
        <w:rPr>
          <w:rFonts w:ascii="Times New Roman" w:hAnsi="Times New Roman" w:eastAsia="Times New Roman"/>
          <w:b w:val="0"/>
          <w:i w:val="0"/>
          <w:sz w:val="24"/>
        </w:rPr>
        <w:t>Both specifications include fund fixed effects, quarter fixed effects, and clustered standard errors.</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the inclusion of fund and time fixed effects controls for unobserved fund heterogeneity and common macroeconomic shocks. Third, the analysis includes multiple robustness tests, event-study analysis, and heterogeneity specifications that strengthen empirical reliability.</w:t>
      </w:r>
    </w:p>
    <w:p w14:paraId="49EAA58A">
      <w:pPr>
        <w:spacing w:before="0" w:after="0" w:line="360" w:lineRule="auto"/>
        <w:jc w:val="left"/>
      </w:pPr>
    </w:p>
    <w:p w14:paraId="41D3A34E">
      <w:pPr>
        <w:spacing w:before="0" w:after="0" w:line="360" w:lineRule="auto"/>
        <w:jc w:val="left"/>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288912DC">
      <w:pPr>
        <w:spacing w:before="0" w:after="0" w:line="360" w:lineRule="auto"/>
        <w:jc w:val="left"/>
      </w:pPr>
    </w:p>
    <w:p>
      <w:r>
        <w:br w:type="page"/>
      </w:r>
    </w:p>
    <w:p>
      <w:pPr>
        <w:spacing w:before="200" w:after="120"/>
      </w:pPr>
      <w:r>
        <w:rPr>
          <w:rFonts w:ascii="Times New Roman" w:hAnsi="Times New Roman" w:eastAsia="Times New Roman"/>
          <w:b/>
          <w:sz w:val="32"/>
        </w:rPr>
        <w:t>Chapter 4 Empirical Results</w:t>
      </w:r>
    </w:p>
    <w:p>
      <w:pPr>
        <w:spacing w:before="160" w:after="120"/>
      </w:pPr>
      <w:r>
        <w:rPr>
          <w:rFonts w:ascii="Times New Roman" w:hAnsi="Times New Roman" w:eastAsia="Times New Roman"/>
          <w:b/>
          <w:sz w:val="28"/>
        </w:rPr>
        <w:t>4.1 Descriptive Statistics</w:t>
      </w:r>
    </w:p>
    <w:p>
      <w:pPr>
        <w:spacing w:after="120" w:line="276" w:lineRule="auto"/>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pPr>
        <w:spacing w:after="120" w:line="276" w:lineRule="auto"/>
      </w:pPr>
      <w:r>
        <w:rPr>
          <w:rFonts w:ascii="Times New Roman" w:hAnsi="Times New Roman" w:eastAsia="Times New Roman"/>
          <w:sz w:val="24"/>
        </w:rPr>
        <w:t xml:space="preserve">Table 1 reports summary statistics for the main variables used in the empirical analysis. The dependent variable </w:t>
      </w:r>
      <w:r>
        <w:rPr>
          <w:rFonts w:ascii="Times New Roman" w:hAnsi="Times New Roman" w:eastAsia="Times New Roman"/>
          <w:b/>
          <w:sz w:val="24"/>
        </w:rPr>
        <w:t>flow_w</w:t>
      </w:r>
      <w:r>
        <w:rPr>
          <w:rFonts w:ascii="Times New Roman" w:hAnsi="Times New Roman" w:eastAsia="Times New Roman"/>
          <w:sz w:val="24"/>
        </w:rPr>
        <w:t xml:space="preserve"> is centered close to zero, with a mean of -0.0026 and a median of -0.0068, indicating that most monthly fund flows are small relative to lagged assets. The winsorized range, from -0.3916 to 0.6548, also shows that the empirical design limits the influence of extreme fund-flow observations while preserving meaningful dispersion in investor capital movements.</w:t>
      </w:r>
    </w:p>
    <w:p>
      <w:pPr>
        <w:spacing w:before="160" w:after="80"/>
        <w:jc w:val="center"/>
      </w:pPr>
      <w:r>
        <w:rPr>
          <w:rFonts w:ascii="Times New Roman" w:hAnsi="Times New Roman" w:eastAsia="Times New Roman"/>
          <w:b/>
          <w:sz w:val="22"/>
        </w:rPr>
        <w:t>Table 1. Summary Statistics</w:t>
      </w:r>
    </w:p>
    <w:tbl>
      <w:tblPr>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1384"/>
        <w:gridCol w:w="1384"/>
        <w:gridCol w:w="1384"/>
        <w:gridCol w:w="1384"/>
        <w:gridCol w:w="1384"/>
        <w:gridCol w:w="1384"/>
      </w:tblGrid>
      <w:tr>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Variable</w:t>
            </w:r>
          </w:p>
        </w:tc>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Mean</w:t>
            </w:r>
          </w:p>
        </w:tc>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Std.</w:t>
            </w:r>
          </w:p>
        </w:tc>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Min</w:t>
            </w:r>
          </w:p>
        </w:tc>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Max</w:t>
            </w:r>
          </w:p>
        </w:tc>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Median</w:t>
            </w:r>
          </w:p>
        </w:tc>
      </w:tr>
      <w:tr>
        <w:tc>
          <w:tcPr>
            <w:tcW w:type="dxa" w:w="1384"/>
            <w:tcMar>
              <w:top w:w="90" w:type="dxa"/>
              <w:start w:w="90" w:type="dxa"/>
              <w:bottom w:w="90" w:type="dxa"/>
              <w:end w:w="90" w:type="dxa"/>
            </w:tcMar>
            <w:vAlign w:val="center"/>
          </w:tcPr>
          <w:p>
            <w:pPr>
              <w:jc w:val="left"/>
            </w:pPr>
            <w:r/>
            <w:r>
              <w:rPr>
                <w:rFonts w:ascii="Times New Roman" w:hAnsi="Times New Roman" w:eastAsia="Times New Roman"/>
                <w:sz w:val="18"/>
              </w:rPr>
              <w:t>flow_w</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-0.002589</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0.108019</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-0.391568</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0.654824</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-0.006756</w:t>
            </w:r>
          </w:p>
        </w:tc>
      </w:tr>
      <w:tr>
        <w:tc>
          <w:tcPr>
            <w:tcW w:type="dxa" w:w="1384"/>
            <w:tcMar>
              <w:top w:w="90" w:type="dxa"/>
              <w:start w:w="90" w:type="dxa"/>
              <w:bottom w:w="90" w:type="dxa"/>
              <w:end w:w="90" w:type="dxa"/>
            </w:tcMar>
            <w:vAlign w:val="center"/>
          </w:tcPr>
          <w:p>
            <w:pPr>
              <w:jc w:val="left"/>
            </w:pPr>
            <w:r/>
            <w:r>
              <w:rPr>
                <w:rFonts w:ascii="Times New Roman" w:hAnsi="Times New Roman" w:eastAsia="Times New Roman"/>
                <w:sz w:val="18"/>
              </w:rPr>
              <w:t>AIExposureZ</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0.008942</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0.978815</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-2.083038</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1.667393</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0.323309</w:t>
            </w:r>
          </w:p>
        </w:tc>
      </w:tr>
      <w:tr>
        <w:tc>
          <w:tcPr>
            <w:tcW w:type="dxa" w:w="1384"/>
            <w:tcMar>
              <w:top w:w="90" w:type="dxa"/>
              <w:start w:w="90" w:type="dxa"/>
              <w:bottom w:w="90" w:type="dxa"/>
              <w:end w:w="90" w:type="dxa"/>
            </w:tcMar>
            <w:vAlign w:val="center"/>
          </w:tcPr>
          <w:p>
            <w:pPr>
              <w:jc w:val="left"/>
            </w:pPr>
            <w:r/>
            <w:r>
              <w:rPr>
                <w:rFonts w:ascii="Times New Roman" w:hAnsi="Times New Roman" w:eastAsia="Times New Roman"/>
                <w:sz w:val="18"/>
              </w:rPr>
              <w:t>log_mtna_lag</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3.744700</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2.829496</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-2.302585</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11.781222</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3.808882</w:t>
            </w:r>
          </w:p>
        </w:tc>
      </w:tr>
      <w:tr>
        <w:tc>
          <w:tcPr>
            <w:tcW w:type="dxa" w:w="1384"/>
            <w:tcMar>
              <w:top w:w="90" w:type="dxa"/>
              <w:start w:w="90" w:type="dxa"/>
              <w:bottom w:w="90" w:type="dxa"/>
              <w:end w:w="90" w:type="dxa"/>
            </w:tcMar>
            <w:vAlign w:val="center"/>
          </w:tcPr>
          <w:p>
            <w:pPr>
              <w:jc w:val="left"/>
            </w:pPr>
            <w:r/>
            <w:r>
              <w:rPr>
                <w:rFonts w:ascii="Times New Roman" w:hAnsi="Times New Roman" w:eastAsia="Times New Roman"/>
                <w:sz w:val="18"/>
              </w:rPr>
              <w:t>mret_lag</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0.010386</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0.065432</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-0.742038</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0.684039</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0.013057</w:t>
            </w:r>
          </w:p>
        </w:tc>
      </w:tr>
      <w:tr>
        <w:tc>
          <w:tcPr>
            <w:tcW w:type="dxa" w:w="1384"/>
            <w:tcMar>
              <w:top w:w="90" w:type="dxa"/>
              <w:start w:w="90" w:type="dxa"/>
              <w:bottom w:w="90" w:type="dxa"/>
              <w:end w:w="90" w:type="dxa"/>
            </w:tcMar>
            <w:vAlign w:val="center"/>
          </w:tcPr>
          <w:p>
            <w:pPr>
              <w:jc w:val="left"/>
            </w:pPr>
            <w:r/>
            <w:r>
              <w:rPr>
                <w:rFonts w:ascii="Times New Roman" w:hAnsi="Times New Roman" w:eastAsia="Times New Roman"/>
                <w:sz w:val="18"/>
              </w:rPr>
              <w:t>flow_lag</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-0.002440</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0.107940</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-0.391568</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0.654824</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-0.006696</w:t>
            </w:r>
          </w:p>
        </w:tc>
      </w:tr>
      <w:tr>
        <w:tc>
          <w:tcPr>
            <w:tcW w:type="dxa" w:w="1384"/>
            <w:tcMar>
              <w:top w:w="90" w:type="dxa"/>
              <w:start w:w="90" w:type="dxa"/>
              <w:bottom w:w="90" w:type="dxa"/>
              <w:end w:w="90" w:type="dxa"/>
            </w:tcMar>
            <w:vAlign w:val="center"/>
          </w:tcPr>
          <w:p>
            <w:pPr>
              <w:jc w:val="left"/>
            </w:pPr>
            <w:r/>
            <w:r>
              <w:rPr>
                <w:rFonts w:ascii="Times New Roman" w:hAnsi="Times New Roman" w:eastAsia="Times New Roman"/>
                <w:sz w:val="18"/>
              </w:rPr>
              <w:t>alpha</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-0.003180</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0.004492</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-0.045557</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0.017952</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-0.002811</w:t>
            </w:r>
          </w:p>
        </w:tc>
      </w:tr>
      <w:tr>
        <w:tc>
          <w:tcPr>
            <w:tcW w:type="dxa" w:w="1384"/>
            <w:tcMar>
              <w:top w:w="90" w:type="dxa"/>
              <w:start w:w="90" w:type="dxa"/>
              <w:bottom w:w="90" w:type="dxa"/>
              <w:end w:w="90" w:type="dxa"/>
            </w:tcMar>
            <w:vAlign w:val="center"/>
          </w:tcPr>
          <w:p>
            <w:pPr>
              <w:jc w:val="left"/>
            </w:pPr>
            <w:r/>
            <w:r>
              <w:rPr>
                <w:rFonts w:ascii="Times New Roman" w:hAnsi="Times New Roman" w:eastAsia="Times New Roman"/>
                <w:sz w:val="18"/>
              </w:rPr>
              <w:t>AIShare</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21.613358</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34.211737</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-9.629999</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179.949946</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3.599999</w:t>
            </w:r>
          </w:p>
        </w:tc>
      </w:tr>
    </w:tbl>
    <w:p>
      <w:pPr>
        <w:spacing w:before="40" w:after="160"/>
      </w:pPr>
      <w:r>
        <w:rPr>
          <w:rFonts w:ascii="Times New Roman" w:hAnsi="Times New Roman" w:eastAsia="Times New Roman"/>
          <w:i/>
          <w:sz w:val="20"/>
        </w:rPr>
        <w:t>Notes: Statistics are taken from the saved outputs in H1+H2.ipynb and processed_data/H3.ipynb. AIShare is reported from the H3 fund-quarter panel as percent_tna. No additional descriptive calculations are introduced in this chapter.</w:t>
      </w:r>
    </w:p>
    <w:p>
      <w:pPr>
        <w:spacing w:after="120" w:line="276" w:lineRule="auto"/>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the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which is consistent with the difficulty of generating positive risk-adjusted performance after controlling for common equity factors.</w:t>
      </w:r>
    </w:p>
    <w:p>
      <w:pPr>
        <w:spacing w:after="120" w:line="276" w:lineRule="auto"/>
      </w:pPr>
      <w:r>
        <w:rPr>
          <w:rFonts w:ascii="Times New Roman" w:hAnsi="Times New Roman" w:eastAsia="Times New Roman"/>
          <w:sz w:val="24"/>
        </w:rPr>
        <w:t>A separate correlation matrix is not reported because it is not included in the submitted notebook output. To avoid introducing newly calculated evidence, the discussion therefore focuses on the saved summary statistics and graphical output. The available descriptive evidence nevertheless supports the empirical design: fund flows cluster around zero, AI exposure varies meaningfully across funds, and lagged size, return, and flow controls are available for the main regression specifications.</w:t>
      </w:r>
    </w:p>
    <w:p>
      <w:pPr>
        <w:spacing w:before="160" w:after="80"/>
        <w:jc w:val="center"/>
      </w:pPr>
      <w:r>
        <w:rPr>
          <w:rFonts w:ascii="Times New Roman" w:hAnsi="Times New Roman" w:eastAsia="Times New Roman"/>
          <w:b/>
          <w:sz w:val="22"/>
        </w:rPr>
        <w:t>Figure 1. Distribution of Pre-Shock AI Exposure</w:t>
      </w:r>
    </w:p>
    <w:p>
      <w:pPr>
        <w:jc w:val="center"/>
      </w:pPr>
      <w:r>
        <w:drawing>
          <wp:inline xmlns:a="http://schemas.openxmlformats.org/drawingml/2006/main" xmlns:pic="http://schemas.openxmlformats.org/drawingml/2006/picture">
            <wp:extent cx="5120640" cy="3462879"/>
            <wp:docPr id="2" name="Picture 2"/>
            <wp:cNvGraphicFramePr>
              <a:graphicFrameLocks noChangeAspect="1"/>
            </wp:cNvGraphicFramePr>
            <a:graphic>
              <a:graphicData uri="http://schemas.openxmlformats.org/drawingml/2006/picture">
                <pic:pic>
                  <pic:nvPicPr>
                    <pic:cNvPr id="0" name="H1_H2_cell16_out0.png"/>
                    <pic:cNvPicPr/>
                  </pic:nvPicPr>
                  <pic:blipFill>
                    <a:blip r:embed="rId7"/>
                    <a:stretch>
                      <a:fillRect/>
                    </a:stretch>
                  </pic:blipFill>
                  <pic:spPr>
                    <a:xfrm>
                      <a:off x="0" y="0"/>
                      <a:ext cx="5120640" cy="3462879"/>
                    </a:xfrm>
                    <a:prstGeom prst="rect"/>
                  </pic:spPr>
                </pic:pic>
              </a:graphicData>
            </a:graphic>
          </wp:inline>
        </w:drawing>
      </w:r>
    </w:p>
    <w:p>
      <w:pPr>
        <w:spacing w:before="40" w:after="160"/>
      </w:pPr>
      <w:r>
        <w:rPr>
          <w:rFonts w:ascii="Times New Roman" w:hAnsi="Times New Roman" w:eastAsia="Times New Roman"/>
          <w:i/>
          <w:sz w:val="20"/>
        </w:rPr>
        <w:t>Source: saved figure output from H1+H2.ipynb.</w:t>
      </w:r>
    </w:p>
    <w:p>
      <w:pPr>
        <w:spacing w:after="120" w:line="276" w:lineRule="auto"/>
      </w:pPr>
      <w:r>
        <w:rPr>
          <w:rFonts w:ascii="Times New Roman" w:hAnsi="Times New Roman" w:eastAsia="Times New Roman"/>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pPr>
        <w:spacing w:before="160" w:after="120"/>
      </w:pPr>
      <w:r>
        <w:rPr>
          <w:rFonts w:ascii="Times New Roman" w:hAnsi="Times New Roman" w:eastAsia="Times New Roman"/>
          <w:b/>
          <w:sz w:val="28"/>
        </w:rPr>
        <w:t>4.2 Baseline Difference-in-Differences Results</w:t>
      </w:r>
    </w:p>
    <w:p>
      <w:pPr>
        <w:spacing w:after="120" w:line="276" w:lineRule="auto"/>
      </w:pPr>
      <w:r>
        <w:rPr>
          <w:rFonts w:ascii="Times New Roman" w:hAnsi="Times New Roman" w:eastAsia="Times New Roman"/>
          <w:sz w:val="24"/>
        </w:rPr>
        <w:t>Table 2 reports the baseline Difference-in-Differences estimates. The estimating equation relates fund flows to the interaction between pre-shock AI exposure and the post-ChatGPT period:</w:t>
      </w:r>
    </w:p>
    <w:p>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pPr>
        <w:spacing w:before="160" w:after="80"/>
        <w:jc w:val="center"/>
      </w:pPr>
      <w:r>
        <w:rPr>
          <w:rFonts w:ascii="Times New Roman" w:hAnsi="Times New Roman" w:eastAsia="Times New Roman"/>
          <w:b/>
          <w:sz w:val="22"/>
        </w:rPr>
        <w:t>Table 2. Baseline DiD Regression Results</w:t>
      </w:r>
    </w:p>
    <w:tbl>
      <w:tblPr>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2769"/>
        <w:gridCol w:w="2769"/>
        <w:gridCol w:w="2769"/>
      </w:tblGrid>
      <w:tr>
        <w:tc>
          <w:tcPr>
            <w:tcW w:type="dxa" w:w="2769"/>
            <w:shd w:fill="D9EAF7"/>
            <w:tcMar>
              <w:top w:w="90" w:type="dxa"/>
              <w:start w:w="90" w:type="dxa"/>
              <w:bottom w:w="90" w:type="dxa"/>
              <w:end w:w="90" w:type="dxa"/>
            </w:tcMar>
            <w:vAlign w:val="center"/>
          </w:tcPr>
          <w:p>
            <w:pPr>
              <w:jc w:val="center"/>
            </w:pPr>
            <w:r/>
            <w:r>
              <w:rPr>
                <w:rFonts w:ascii="Times New Roman" w:hAnsi="Times New Roman" w:eastAsia="Times New Roman"/>
                <w:b/>
                <w:sz w:val="19"/>
              </w:rPr>
              <w:t>Variable</w:t>
            </w:r>
          </w:p>
        </w:tc>
        <w:tc>
          <w:tcPr>
            <w:tcW w:type="dxa" w:w="2769"/>
            <w:shd w:fill="D9EAF7"/>
            <w:tcMar>
              <w:top w:w="90" w:type="dxa"/>
              <w:start w:w="90" w:type="dxa"/>
              <w:bottom w:w="90" w:type="dxa"/>
              <w:end w:w="90" w:type="dxa"/>
            </w:tcMar>
            <w:vAlign w:val="center"/>
          </w:tcPr>
          <w:p>
            <w:pPr>
              <w:jc w:val="center"/>
            </w:pPr>
            <w:r/>
            <w:r>
              <w:rPr>
                <w:rFonts w:ascii="Times New Roman" w:hAnsi="Times New Roman" w:eastAsia="Times New Roman"/>
                <w:b/>
                <w:sz w:val="19"/>
              </w:rPr>
              <w:t>(1)</w:t>
            </w:r>
          </w:p>
        </w:tc>
        <w:tc>
          <w:tcPr>
            <w:tcW w:type="dxa" w:w="2769"/>
            <w:shd w:fill="D9EAF7"/>
            <w:tcMar>
              <w:top w:w="90" w:type="dxa"/>
              <w:start w:w="90" w:type="dxa"/>
              <w:bottom w:w="90" w:type="dxa"/>
              <w:end w:w="90" w:type="dxa"/>
            </w:tcMar>
            <w:vAlign w:val="center"/>
          </w:tcPr>
          <w:p>
            <w:pPr>
              <w:jc w:val="center"/>
            </w:pPr>
            <w:r/>
            <w:r>
              <w:rPr>
                <w:rFonts w:ascii="Times New Roman" w:hAnsi="Times New Roman" w:eastAsia="Times New Roman"/>
                <w:b/>
                <w:sz w:val="19"/>
              </w:rPr>
              <w:t>(2)</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AIExposureZ x Post</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0.0024***</w:t>
              <w:br/>
              <w:t>(0.0007)</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0.0057***</w:t>
              <w:br/>
              <w:t>(0.0009)</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log_mtna_lag</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-0.0319***</w:t>
              <w:br/>
              <w:t>(0.0025)</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mret_lag</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0.1369***</w:t>
              <w:br/>
              <w:t>(0.0213)</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flow_lag</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-0.0923***</w:t>
              <w:br/>
              <w:t>(0.0132)</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Fund FE</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Yes</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Yes</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Time FE</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Yes</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Yes</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Controls</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No</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Yes</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R-squared</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0.0001</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0.0371</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Observations</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82,531</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81,262</w:t>
            </w:r>
          </w:p>
        </w:tc>
      </w:tr>
    </w:tbl>
    <w:p>
      <w:pPr>
        <w:spacing w:before="40" w:after="160"/>
      </w:pPr>
      <w:r>
        <w:rPr>
          <w:rFonts w:ascii="Times New Roman" w:hAnsi="Times New Roman" w:eastAsia="Times New Roman"/>
          <w:i/>
          <w:sz w:val="20"/>
        </w:rPr>
        <w:t>Notes: Standard errors clustered at the fund level are reported in parentheses. *** denotes significance at the 1% level. The submitted notebook reports these two two-way fixed-effects specifications; additional pooled or fund-only columns are not reported because they are not present in the original saved output.</w:t>
      </w:r>
    </w:p>
    <w:p>
      <w:pPr>
        <w:spacing w:after="120" w:line="276" w:lineRule="auto"/>
      </w:pPr>
      <w:r>
        <w:rPr>
          <w:rFonts w:ascii="Times New Roman" w:hAnsi="Times New Roman" w:eastAsia="Times New Roman"/>
          <w:sz w:val="24"/>
        </w:rPr>
        <w:t xml:space="preserve">The coefficient on </w:t>
      </w:r>
      <w:r>
        <w:rPr>
          <w:rFonts w:ascii="Times New Roman" w:hAnsi="Times New Roman" w:eastAsia="Times New Roman"/>
          <w:b/>
          <w:sz w:val="24"/>
        </w:rPr>
        <w:t>AIExposureZ x Post</w:t>
      </w:r>
      <w:r>
        <w:rPr>
          <w:rFonts w:ascii="Times New Roman" w:hAnsi="Times New Roman" w:eastAsia="Times New Roman"/>
          <w:sz w:val="24"/>
        </w:rPr>
        <w:t xml:space="preserve"> is positive and statistically significant in both specifications. In column (1), without lagged controls, the coefficient is 0.0024 and is significant at the 1% level. In column (2), after controlling for lagged fund size, lagged return, and lagged flow, the coefficient increases to 0.0057 and remains highly significant. Economically, the controlled estimate implies that a one-standard-deviation increase in pre-shock AI exposure is associated with approximately 0.57 percentage points higher monthly fund inflows after the ChatGPT release.</w:t>
      </w:r>
    </w:p>
    <w:p>
      <w:pPr>
        <w:spacing w:after="120" w:line="276" w:lineRule="auto"/>
      </w:pPr>
      <w:r>
        <w:rPr>
          <w:rFonts w:ascii="Times New Roman" w:hAnsi="Times New Roman" w:eastAsia="Times New Roman"/>
          <w:sz w:val="24"/>
        </w:rPr>
        <w:t>The magnitude is economically meaningful in the context of monthly mutual fund flows, which are typically clustered close to zero. The result is consistent with investors reallocating capital toward funds with stronger exposure to AI-related firms after ChatGPT increased public attention to generative AI. This evidence supports H1 and is consistent with an investor attention mechanism in which technological optimism translates into thematic capital allocation.</w:t>
      </w:r>
    </w:p>
    <w:p>
      <w:pPr>
        <w:spacing w:before="160" w:after="120"/>
      </w:pPr>
      <w:r>
        <w:rPr>
          <w:rFonts w:ascii="Times New Roman" w:hAnsi="Times New Roman" w:eastAsia="Times New Roman"/>
          <w:b/>
          <w:sz w:val="28"/>
        </w:rPr>
        <w:t>4.3 Event Study Analysis</w:t>
      </w:r>
    </w:p>
    <w:p>
      <w:pPr>
        <w:spacing w:after="120" w:line="276" w:lineRule="auto"/>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pPr>
        <w:spacing w:before="160" w:after="80"/>
        <w:jc w:val="center"/>
      </w:pPr>
      <w:r>
        <w:rPr>
          <w:rFonts w:ascii="Times New Roman" w:hAnsi="Times New Roman" w:eastAsia="Times New Roman"/>
          <w:b/>
          <w:sz w:val="22"/>
        </w:rPr>
        <w:t>Figure 2. Event Study Estimates</w:t>
      </w:r>
    </w:p>
    <w:p>
      <w:pPr>
        <w:jc w:val="center"/>
      </w:pPr>
      <w:r>
        <w:drawing>
          <wp:inline xmlns:a="http://schemas.openxmlformats.org/drawingml/2006/main" xmlns:pic="http://schemas.openxmlformats.org/drawingml/2006/picture">
            <wp:extent cx="5303520" cy="3315458"/>
            <wp:docPr id="3" name="Picture 3"/>
            <wp:cNvGraphicFramePr>
              <a:graphicFrameLocks noChangeAspect="1"/>
            </wp:cNvGraphicFramePr>
            <a:graphic>
              <a:graphicData uri="http://schemas.openxmlformats.org/drawingml/2006/picture">
                <pic:pic>
                  <pic:nvPicPr>
                    <pic:cNvPr id="0" name="H1_H2_cell71_out0.png"/>
                    <pic:cNvPicPr/>
                  </pic:nvPicPr>
                  <pic:blipFill>
                    <a:blip r:embed="rId8"/>
                    <a:stretch>
                      <a:fillRect/>
                    </a:stretch>
                  </pic:blipFill>
                  <pic:spPr>
                    <a:xfrm>
                      <a:off x="0" y="0"/>
                      <a:ext cx="5303520" cy="3315458"/>
                    </a:xfrm>
                    <a:prstGeom prst="rect"/>
                  </pic:spPr>
                </pic:pic>
              </a:graphicData>
            </a:graphic>
          </wp:inline>
        </w:drawing>
      </w:r>
    </w:p>
    <w:p>
      <w:pPr>
        <w:spacing w:before="40" w:after="160"/>
      </w:pPr>
      <w:r>
        <w:rPr>
          <w:rFonts w:ascii="Times New Roman" w:hAnsi="Times New Roman" w:eastAsia="Times New Roman"/>
          <w:i/>
          <w:sz w:val="20"/>
        </w:rPr>
        <w:t>Source: saved figure output from H1+H2.ipynb. The event window runs from month -12 to month +24, with month -1 omitted.</w:t>
      </w:r>
    </w:p>
    <w:p>
      <w:pPr>
        <w:spacing w:after="120" w:line="276" w:lineRule="auto"/>
      </w:pPr>
      <w:r>
        <w:rPr>
          <w:rFonts w:ascii="Times New Roman" w:hAnsi="Times New Roman" w:eastAsia="Times New Roman"/>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pPr>
        <w:spacing w:after="120" w:line="276" w:lineRule="auto"/>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pPr>
        <w:spacing w:before="160" w:after="120"/>
      </w:pPr>
      <w:r>
        <w:rPr>
          <w:rFonts w:ascii="Times New Roman" w:hAnsi="Times New Roman" w:eastAsia="Times New Roman"/>
          <w:b/>
          <w:sz w:val="28"/>
        </w:rPr>
        <w:t>4.4 Heterogeneity Analysis</w:t>
      </w:r>
    </w:p>
    <w:p>
      <w:pPr>
        <w:spacing w:after="120" w:line="276" w:lineRule="auto"/>
      </w:pPr>
      <w:r>
        <w:rPr>
          <w:rFonts w:ascii="Times New Roman" w:hAnsi="Times New Roman" w:eastAsia="Times New Roman"/>
          <w:sz w:val="24"/>
        </w:rPr>
        <w:t xml:space="preserve">Table 3 examines whether investor responses differ by prior fund performance. </w:t>
      </w:r>
      <w:r>
        <w:rPr>
          <w:rFonts w:ascii="Times New Roman" w:hAnsi="Times New Roman" w:eastAsia="Times New Roman"/>
          <w:b/>
          <w:sz w:val="24"/>
        </w:rPr>
        <w:t>GoodFund</w:t>
      </w:r>
      <w:r>
        <w:rPr>
          <w:rFonts w:ascii="Times New Roman" w:hAnsi="Times New Roman" w:eastAsia="Times New Roman"/>
          <w:sz w:val="24"/>
        </w:rPr>
        <w:t xml:space="preserve"> is defined as an indicator equal to one when a fund's pre-shock Fama-French three-factor </w:t>
      </w:r>
      <w:r>
        <w:rPr>
          <w:rFonts w:ascii="Times New Roman" w:hAnsi="Times New Roman" w:eastAsia="Times New Roman"/>
          <w:b/>
          <w:sz w:val="24"/>
        </w:rPr>
        <w:t>alpha</w:t>
      </w:r>
      <w:r>
        <w:rPr>
          <w:rFonts w:ascii="Times New Roman" w:hAnsi="Times New Roman" w:eastAsia="Times New Roman"/>
          <w:sz w:val="24"/>
        </w:rPr>
        <w:t xml:space="preserve"> is above the sample median of -0.002811. This median split produces 615 high-</w:t>
      </w:r>
      <w:r>
        <w:rPr>
          <w:rFonts w:ascii="Times New Roman" w:hAnsi="Times New Roman" w:eastAsia="Times New Roman"/>
          <w:b/>
          <w:sz w:val="24"/>
        </w:rPr>
        <w:t>alpha</w:t>
      </w:r>
      <w:r>
        <w:rPr>
          <w:rFonts w:ascii="Times New Roman" w:hAnsi="Times New Roman" w:eastAsia="Times New Roman"/>
          <w:sz w:val="24"/>
        </w:rPr>
        <w:t xml:space="preserve"> funds and 616 low-</w:t>
      </w:r>
      <w:r>
        <w:rPr>
          <w:rFonts w:ascii="Times New Roman" w:hAnsi="Times New Roman" w:eastAsia="Times New Roman"/>
          <w:b/>
          <w:sz w:val="24"/>
        </w:rPr>
        <w:t>alpha</w:t>
      </w:r>
      <w:r>
        <w:rPr>
          <w:rFonts w:ascii="Times New Roman" w:hAnsi="Times New Roman" w:eastAsia="Times New Roman"/>
          <w:sz w:val="24"/>
        </w:rPr>
        <w:t xml:space="preserve"> funds among the 1,231 funds with valid </w:t>
      </w:r>
      <w:r>
        <w:rPr>
          <w:rFonts w:ascii="Times New Roman" w:hAnsi="Times New Roman" w:eastAsia="Times New Roman"/>
          <w:b/>
          <w:sz w:val="24"/>
        </w:rPr>
        <w:t>alpha</w:t>
      </w:r>
      <w:r>
        <w:rPr>
          <w:rFonts w:ascii="Times New Roman" w:hAnsi="Times New Roman" w:eastAsia="Times New Roman"/>
          <w:sz w:val="24"/>
        </w:rPr>
        <w:t xml:space="preserve"> estimates.</w:t>
      </w:r>
    </w:p>
    <w:p>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pPr>
        <w:spacing w:before="160" w:after="80"/>
        <w:jc w:val="center"/>
      </w:pPr>
      <w:r>
        <w:rPr>
          <w:rFonts w:ascii="Times New Roman" w:hAnsi="Times New Roman" w:eastAsia="Times New Roman"/>
          <w:b/>
          <w:sz w:val="22"/>
        </w:rPr>
        <w:t>Table 3. Heterogeneity by Prior Performance</w:t>
      </w:r>
    </w:p>
    <w:tbl>
      <w:tblPr>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4153"/>
        <w:gridCol w:w="4153"/>
      </w:tblGrid>
      <w:tr>
        <w:tc>
          <w:tcPr>
            <w:tcW w:type="dxa" w:w="4153"/>
            <w:shd w:fill="D9EAF7"/>
            <w:tcMar>
              <w:top w:w="90" w:type="dxa"/>
              <w:start w:w="90" w:type="dxa"/>
              <w:bottom w:w="90" w:type="dxa"/>
              <w:end w:w="90" w:type="dxa"/>
            </w:tcMar>
            <w:vAlign w:val="center"/>
          </w:tcPr>
          <w:p>
            <w:pPr>
              <w:jc w:val="center"/>
            </w:pPr>
            <w:r/>
            <w:r>
              <w:rPr>
                <w:rFonts w:ascii="Times New Roman" w:hAnsi="Times New Roman" w:eastAsia="Times New Roman"/>
                <w:b/>
                <w:sz w:val="19"/>
              </w:rPr>
              <w:t>Variable</w:t>
            </w:r>
          </w:p>
        </w:tc>
        <w:tc>
          <w:tcPr>
            <w:tcW w:type="dxa" w:w="4153"/>
            <w:shd w:fill="D9EAF7"/>
            <w:tcMar>
              <w:top w:w="90" w:type="dxa"/>
              <w:start w:w="90" w:type="dxa"/>
              <w:bottom w:w="90" w:type="dxa"/>
              <w:end w:w="90" w:type="dxa"/>
            </w:tcMar>
            <w:vAlign w:val="center"/>
          </w:tcPr>
          <w:p>
            <w:pPr>
              <w:jc w:val="center"/>
            </w:pPr>
            <w:r/>
            <w:r>
              <w:rPr>
                <w:rFonts w:ascii="Times New Roman" w:hAnsi="Times New Roman" w:eastAsia="Times New Roman"/>
                <w:b/>
                <w:sz w:val="19"/>
              </w:rPr>
              <w:t>flow_w</w:t>
            </w:r>
          </w:p>
        </w:tc>
      </w:tr>
      <w:tr>
        <w:tc>
          <w:tcPr>
            <w:tcW w:type="dxa" w:w="4153"/>
            <w:tcMar>
              <w:top w:w="90" w:type="dxa"/>
              <w:start w:w="90" w:type="dxa"/>
              <w:bottom w:w="90" w:type="dxa"/>
              <w:end w:w="90" w:type="dxa"/>
            </w:tcMar>
            <w:vAlign w:val="center"/>
          </w:tcPr>
          <w:p>
            <w:pPr>
              <w:jc w:val="left"/>
            </w:pPr>
            <w:r/>
            <w:r>
              <w:rPr>
                <w:rFonts w:ascii="Times New Roman" w:hAnsi="Times New Roman" w:eastAsia="Times New Roman"/>
                <w:sz w:val="18"/>
              </w:rPr>
              <w:t>AIExposureZ x Post</w:t>
            </w:r>
          </w:p>
        </w:tc>
        <w:tc>
          <w:tcPr>
            <w:tcW w:type="dxa" w:w="4153"/>
            <w:tcMar>
              <w:top w:w="90" w:type="dxa"/>
              <w:start w:w="90" w:type="dxa"/>
              <w:bottom w:w="90" w:type="dxa"/>
              <w:end w:w="90" w:type="dxa"/>
            </w:tcMar>
            <w:vAlign w:val="center"/>
          </w:tcPr>
          <w:p>
            <w:pPr>
              <w:jc w:val="center"/>
            </w:pPr>
            <w:r/>
            <w:r>
              <w:rPr>
                <w:rFonts w:ascii="Times New Roman" w:hAnsi="Times New Roman" w:eastAsia="Times New Roman"/>
                <w:sz w:val="18"/>
              </w:rPr>
              <w:t>0.0023*</w:t>
              <w:br/>
              <w:t>(0.0013)</w:t>
            </w:r>
          </w:p>
        </w:tc>
      </w:tr>
      <w:tr>
        <w:tc>
          <w:tcPr>
            <w:tcW w:type="dxa" w:w="4153"/>
            <w:tcMar>
              <w:top w:w="90" w:type="dxa"/>
              <w:start w:w="90" w:type="dxa"/>
              <w:bottom w:w="90" w:type="dxa"/>
              <w:end w:w="90" w:type="dxa"/>
            </w:tcMar>
            <w:vAlign w:val="center"/>
          </w:tcPr>
          <w:p>
            <w:pPr>
              <w:jc w:val="left"/>
            </w:pPr>
            <w:r/>
            <w:r>
              <w:rPr>
                <w:rFonts w:ascii="Times New Roman" w:hAnsi="Times New Roman" w:eastAsia="Times New Roman"/>
                <w:sz w:val="18"/>
              </w:rPr>
              <w:t>Post x GoodFund</w:t>
            </w:r>
          </w:p>
        </w:tc>
        <w:tc>
          <w:tcPr>
            <w:tcW w:type="dxa" w:w="4153"/>
            <w:tcMar>
              <w:top w:w="90" w:type="dxa"/>
              <w:start w:w="90" w:type="dxa"/>
              <w:bottom w:w="90" w:type="dxa"/>
              <w:end w:w="90" w:type="dxa"/>
            </w:tcMar>
            <w:vAlign w:val="center"/>
          </w:tcPr>
          <w:p>
            <w:pPr>
              <w:jc w:val="center"/>
            </w:pPr>
            <w:r/>
            <w:r>
              <w:rPr>
                <w:rFonts w:ascii="Times New Roman" w:hAnsi="Times New Roman" w:eastAsia="Times New Roman"/>
                <w:sz w:val="18"/>
              </w:rPr>
              <w:t>0.0053*</w:t>
              <w:br/>
              <w:t>(0.0028)</w:t>
            </w:r>
          </w:p>
        </w:tc>
      </w:tr>
      <w:tr>
        <w:tc>
          <w:tcPr>
            <w:tcW w:type="dxa" w:w="4153"/>
            <w:tcMar>
              <w:top w:w="90" w:type="dxa"/>
              <w:start w:w="90" w:type="dxa"/>
              <w:bottom w:w="90" w:type="dxa"/>
              <w:end w:w="90" w:type="dxa"/>
            </w:tcMar>
            <w:vAlign w:val="center"/>
          </w:tcPr>
          <w:p>
            <w:pPr>
              <w:jc w:val="left"/>
            </w:pPr>
            <w:r/>
            <w:r>
              <w:rPr>
                <w:rFonts w:ascii="Times New Roman" w:hAnsi="Times New Roman" w:eastAsia="Times New Roman"/>
                <w:sz w:val="18"/>
              </w:rPr>
              <w:t>AIExposureZ x Post x GoodFund</w:t>
            </w:r>
          </w:p>
        </w:tc>
        <w:tc>
          <w:tcPr>
            <w:tcW w:type="dxa" w:w="4153"/>
            <w:tcMar>
              <w:top w:w="90" w:type="dxa"/>
              <w:start w:w="90" w:type="dxa"/>
              <w:bottom w:w="90" w:type="dxa"/>
              <w:end w:w="90" w:type="dxa"/>
            </w:tcMar>
            <w:vAlign w:val="center"/>
          </w:tcPr>
          <w:p>
            <w:pPr>
              <w:jc w:val="center"/>
            </w:pPr>
            <w:r/>
            <w:r>
              <w:rPr>
                <w:rFonts w:ascii="Times New Roman" w:hAnsi="Times New Roman" w:eastAsia="Times New Roman"/>
                <w:sz w:val="18"/>
              </w:rPr>
              <w:t>0.0064**</w:t>
              <w:br/>
              <w:t>(0.0028)</w:t>
            </w:r>
          </w:p>
        </w:tc>
      </w:tr>
      <w:tr>
        <w:tc>
          <w:tcPr>
            <w:tcW w:type="dxa" w:w="4153"/>
            <w:tcMar>
              <w:top w:w="90" w:type="dxa"/>
              <w:start w:w="90" w:type="dxa"/>
              <w:bottom w:w="90" w:type="dxa"/>
              <w:end w:w="90" w:type="dxa"/>
            </w:tcMar>
            <w:vAlign w:val="center"/>
          </w:tcPr>
          <w:p>
            <w:pPr>
              <w:jc w:val="left"/>
            </w:pPr>
            <w:r/>
            <w:r>
              <w:rPr>
                <w:rFonts w:ascii="Times New Roman" w:hAnsi="Times New Roman" w:eastAsia="Times New Roman"/>
                <w:sz w:val="18"/>
              </w:rPr>
              <w:t>log_mtna_lag</w:t>
            </w:r>
          </w:p>
        </w:tc>
        <w:tc>
          <w:tcPr>
            <w:tcW w:type="dxa" w:w="4153"/>
            <w:tcMar>
              <w:top w:w="90" w:type="dxa"/>
              <w:start w:w="90" w:type="dxa"/>
              <w:bottom w:w="90" w:type="dxa"/>
              <w:end w:w="90" w:type="dxa"/>
            </w:tcMar>
            <w:vAlign w:val="center"/>
          </w:tcPr>
          <w:p>
            <w:pPr>
              <w:jc w:val="center"/>
            </w:pPr>
            <w:r/>
            <w:r>
              <w:rPr>
                <w:rFonts w:ascii="Times New Roman" w:hAnsi="Times New Roman" w:eastAsia="Times New Roman"/>
                <w:sz w:val="18"/>
              </w:rPr>
              <w:t>-0.0323***</w:t>
              <w:br/>
              <w:t>(0.0026)</w:t>
            </w:r>
          </w:p>
        </w:tc>
      </w:tr>
      <w:tr>
        <w:tc>
          <w:tcPr>
            <w:tcW w:type="dxa" w:w="4153"/>
            <w:tcMar>
              <w:top w:w="90" w:type="dxa"/>
              <w:start w:w="90" w:type="dxa"/>
              <w:bottom w:w="90" w:type="dxa"/>
              <w:end w:w="90" w:type="dxa"/>
            </w:tcMar>
            <w:vAlign w:val="center"/>
          </w:tcPr>
          <w:p>
            <w:pPr>
              <w:jc w:val="left"/>
            </w:pPr>
            <w:r/>
            <w:r>
              <w:rPr>
                <w:rFonts w:ascii="Times New Roman" w:hAnsi="Times New Roman" w:eastAsia="Times New Roman"/>
                <w:sz w:val="18"/>
              </w:rPr>
              <w:t>mret_lag</w:t>
            </w:r>
          </w:p>
        </w:tc>
        <w:tc>
          <w:tcPr>
            <w:tcW w:type="dxa" w:w="4153"/>
            <w:tcMar>
              <w:top w:w="90" w:type="dxa"/>
              <w:start w:w="90" w:type="dxa"/>
              <w:bottom w:w="90" w:type="dxa"/>
              <w:end w:w="90" w:type="dxa"/>
            </w:tcMar>
            <w:vAlign w:val="center"/>
          </w:tcPr>
          <w:p>
            <w:pPr>
              <w:jc w:val="center"/>
            </w:pPr>
            <w:r/>
            <w:r>
              <w:rPr>
                <w:rFonts w:ascii="Times New Roman" w:hAnsi="Times New Roman" w:eastAsia="Times New Roman"/>
                <w:sz w:val="18"/>
              </w:rPr>
              <w:t>0.1373***</w:t>
              <w:br/>
              <w:t>(0.0214)</w:t>
            </w:r>
          </w:p>
        </w:tc>
      </w:tr>
      <w:tr>
        <w:tc>
          <w:tcPr>
            <w:tcW w:type="dxa" w:w="4153"/>
            <w:tcMar>
              <w:top w:w="90" w:type="dxa"/>
              <w:start w:w="90" w:type="dxa"/>
              <w:bottom w:w="90" w:type="dxa"/>
              <w:end w:w="90" w:type="dxa"/>
            </w:tcMar>
            <w:vAlign w:val="center"/>
          </w:tcPr>
          <w:p>
            <w:pPr>
              <w:jc w:val="left"/>
            </w:pPr>
            <w:r/>
            <w:r>
              <w:rPr>
                <w:rFonts w:ascii="Times New Roman" w:hAnsi="Times New Roman" w:eastAsia="Times New Roman"/>
                <w:sz w:val="18"/>
              </w:rPr>
              <w:t>flow_lag</w:t>
            </w:r>
          </w:p>
        </w:tc>
        <w:tc>
          <w:tcPr>
            <w:tcW w:type="dxa" w:w="4153"/>
            <w:tcMar>
              <w:top w:w="90" w:type="dxa"/>
              <w:start w:w="90" w:type="dxa"/>
              <w:bottom w:w="90" w:type="dxa"/>
              <w:end w:w="90" w:type="dxa"/>
            </w:tcMar>
            <w:vAlign w:val="center"/>
          </w:tcPr>
          <w:p>
            <w:pPr>
              <w:jc w:val="center"/>
            </w:pPr>
            <w:r/>
            <w:r>
              <w:rPr>
                <w:rFonts w:ascii="Times New Roman" w:hAnsi="Times New Roman" w:eastAsia="Times New Roman"/>
                <w:sz w:val="18"/>
              </w:rPr>
              <w:t>-0.0937***</w:t>
              <w:br/>
              <w:t>(0.0133)</w:t>
            </w:r>
          </w:p>
        </w:tc>
      </w:tr>
      <w:tr>
        <w:tc>
          <w:tcPr>
            <w:tcW w:type="dxa" w:w="4153"/>
            <w:tcMar>
              <w:top w:w="90" w:type="dxa"/>
              <w:start w:w="90" w:type="dxa"/>
              <w:bottom w:w="90" w:type="dxa"/>
              <w:end w:w="90" w:type="dxa"/>
            </w:tcMar>
            <w:vAlign w:val="center"/>
          </w:tcPr>
          <w:p>
            <w:pPr>
              <w:jc w:val="left"/>
            </w:pPr>
            <w:r/>
            <w:r>
              <w:rPr>
                <w:rFonts w:ascii="Times New Roman" w:hAnsi="Times New Roman" w:eastAsia="Times New Roman"/>
                <w:sz w:val="18"/>
              </w:rPr>
              <w:t>Fund FE</w:t>
            </w:r>
          </w:p>
        </w:tc>
        <w:tc>
          <w:tcPr>
            <w:tcW w:type="dxa" w:w="4153"/>
            <w:tcMar>
              <w:top w:w="90" w:type="dxa"/>
              <w:start w:w="90" w:type="dxa"/>
              <w:bottom w:w="90" w:type="dxa"/>
              <w:end w:w="90" w:type="dxa"/>
            </w:tcMar>
            <w:vAlign w:val="center"/>
          </w:tcPr>
          <w:p>
            <w:pPr>
              <w:jc w:val="center"/>
            </w:pPr>
            <w:r/>
            <w:r>
              <w:rPr>
                <w:rFonts w:ascii="Times New Roman" w:hAnsi="Times New Roman" w:eastAsia="Times New Roman"/>
                <w:sz w:val="18"/>
              </w:rPr>
              <w:t>Yes</w:t>
            </w:r>
          </w:p>
        </w:tc>
      </w:tr>
      <w:tr>
        <w:tc>
          <w:tcPr>
            <w:tcW w:type="dxa" w:w="4153"/>
            <w:tcMar>
              <w:top w:w="90" w:type="dxa"/>
              <w:start w:w="90" w:type="dxa"/>
              <w:bottom w:w="90" w:type="dxa"/>
              <w:end w:w="90" w:type="dxa"/>
            </w:tcMar>
            <w:vAlign w:val="center"/>
          </w:tcPr>
          <w:p>
            <w:pPr>
              <w:jc w:val="left"/>
            </w:pPr>
            <w:r/>
            <w:r>
              <w:rPr>
                <w:rFonts w:ascii="Times New Roman" w:hAnsi="Times New Roman" w:eastAsia="Times New Roman"/>
                <w:sz w:val="18"/>
              </w:rPr>
              <w:t>Time FE</w:t>
            </w:r>
          </w:p>
        </w:tc>
        <w:tc>
          <w:tcPr>
            <w:tcW w:type="dxa" w:w="4153"/>
            <w:tcMar>
              <w:top w:w="90" w:type="dxa"/>
              <w:start w:w="90" w:type="dxa"/>
              <w:bottom w:w="90" w:type="dxa"/>
              <w:end w:w="90" w:type="dxa"/>
            </w:tcMar>
            <w:vAlign w:val="center"/>
          </w:tcPr>
          <w:p>
            <w:pPr>
              <w:jc w:val="center"/>
            </w:pPr>
            <w:r/>
            <w:r>
              <w:rPr>
                <w:rFonts w:ascii="Times New Roman" w:hAnsi="Times New Roman" w:eastAsia="Times New Roman"/>
                <w:sz w:val="18"/>
              </w:rPr>
              <w:t>Yes</w:t>
            </w:r>
          </w:p>
        </w:tc>
      </w:tr>
      <w:tr>
        <w:tc>
          <w:tcPr>
            <w:tcW w:type="dxa" w:w="4153"/>
            <w:tcMar>
              <w:top w:w="90" w:type="dxa"/>
              <w:start w:w="90" w:type="dxa"/>
              <w:bottom w:w="90" w:type="dxa"/>
              <w:end w:w="90" w:type="dxa"/>
            </w:tcMar>
            <w:vAlign w:val="center"/>
          </w:tcPr>
          <w:p>
            <w:pPr>
              <w:jc w:val="left"/>
            </w:pPr>
            <w:r/>
            <w:r>
              <w:rPr>
                <w:rFonts w:ascii="Times New Roman" w:hAnsi="Times New Roman" w:eastAsia="Times New Roman"/>
                <w:sz w:val="18"/>
              </w:rPr>
              <w:t>R-squared</w:t>
            </w:r>
          </w:p>
        </w:tc>
        <w:tc>
          <w:tcPr>
            <w:tcW w:type="dxa" w:w="4153"/>
            <w:tcMar>
              <w:top w:w="90" w:type="dxa"/>
              <w:start w:w="90" w:type="dxa"/>
              <w:bottom w:w="90" w:type="dxa"/>
              <w:end w:w="90" w:type="dxa"/>
            </w:tcMar>
            <w:vAlign w:val="center"/>
          </w:tcPr>
          <w:p>
            <w:pPr>
              <w:jc w:val="center"/>
            </w:pPr>
            <w:r/>
            <w:r>
              <w:rPr>
                <w:rFonts w:ascii="Times New Roman" w:hAnsi="Times New Roman" w:eastAsia="Times New Roman"/>
                <w:sz w:val="18"/>
              </w:rPr>
              <w:t>0.0367</w:t>
            </w:r>
          </w:p>
        </w:tc>
      </w:tr>
      <w:tr>
        <w:tc>
          <w:tcPr>
            <w:tcW w:type="dxa" w:w="4153"/>
            <w:tcMar>
              <w:top w:w="90" w:type="dxa"/>
              <w:start w:w="90" w:type="dxa"/>
              <w:bottom w:w="90" w:type="dxa"/>
              <w:end w:w="90" w:type="dxa"/>
            </w:tcMar>
            <w:vAlign w:val="center"/>
          </w:tcPr>
          <w:p>
            <w:pPr>
              <w:jc w:val="left"/>
            </w:pPr>
            <w:r/>
            <w:r>
              <w:rPr>
                <w:rFonts w:ascii="Times New Roman" w:hAnsi="Times New Roman" w:eastAsia="Times New Roman"/>
                <w:sz w:val="18"/>
              </w:rPr>
              <w:t>Observations</w:t>
            </w:r>
          </w:p>
        </w:tc>
        <w:tc>
          <w:tcPr>
            <w:tcW w:type="dxa" w:w="4153"/>
            <w:tcMar>
              <w:top w:w="90" w:type="dxa"/>
              <w:start w:w="90" w:type="dxa"/>
              <w:bottom w:w="90" w:type="dxa"/>
              <w:end w:w="90" w:type="dxa"/>
            </w:tcMar>
            <w:vAlign w:val="center"/>
          </w:tcPr>
          <w:p>
            <w:pPr>
              <w:jc w:val="center"/>
            </w:pPr>
            <w:r/>
            <w:r>
              <w:rPr>
                <w:rFonts w:ascii="Times New Roman" w:hAnsi="Times New Roman" w:eastAsia="Times New Roman"/>
                <w:sz w:val="18"/>
              </w:rPr>
              <w:t>80,492</w:t>
            </w:r>
          </w:p>
        </w:tc>
      </w:tr>
    </w:tbl>
    <w:p>
      <w:pPr>
        <w:spacing w:before="40" w:after="160"/>
      </w:pPr>
      <w:r>
        <w:rPr>
          <w:rFonts w:ascii="Times New Roman" w:hAnsi="Times New Roman" w:eastAsia="Times New Roman"/>
          <w:i/>
          <w:sz w:val="20"/>
        </w:rPr>
        <w:t>Notes: Standard errors clustered at the fund level are reported in parentheses. ***, **, and * denote significance at the 1%, 5%, and 10% levels, respectively.</w:t>
      </w:r>
    </w:p>
    <w:p>
      <w:pPr>
        <w:spacing w:after="120" w:line="276" w:lineRule="auto"/>
      </w:pPr>
      <w:r>
        <w:rPr>
          <w:rFonts w:ascii="Times New Roman" w:hAnsi="Times New Roman" w:eastAsia="Times New Roman"/>
          <w:sz w:val="24"/>
        </w:rPr>
        <w:t xml:space="preserve">The triple-interaction coefficient </w:t>
      </w:r>
      <w:r>
        <w:rPr>
          <w:rFonts w:ascii="Times New Roman" w:hAnsi="Times New Roman" w:eastAsia="Times New Roman"/>
          <w:b/>
          <w:sz w:val="24"/>
        </w:rPr>
        <w:t>AIExposureZ x Post</w:t>
      </w:r>
      <w:r>
        <w:rPr>
          <w:rFonts w:ascii="Times New Roman" w:hAnsi="Times New Roman" w:eastAsia="Times New Roman"/>
          <w:sz w:val="24"/>
        </w:rPr>
        <w:t xml:space="preserve"> x </w:t>
      </w:r>
      <w:r>
        <w:rPr>
          <w:rFonts w:ascii="Times New Roman" w:hAnsi="Times New Roman" w:eastAsia="Times New Roman"/>
          <w:b/>
          <w:sz w:val="24"/>
        </w:rPr>
        <w:t>GoodFund</w:t>
      </w:r>
      <w:r>
        <w:rPr>
          <w:rFonts w:ascii="Times New Roman" w:hAnsi="Times New Roman" w:eastAsia="Times New Roman"/>
          <w:sz w:val="24"/>
        </w:rPr>
        <w:t xml:space="preserve"> is 0.0064 and statistically significant at the 5% level. This estimate indicates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pPr>
        <w:spacing w:after="120" w:line="276" w:lineRule="auto"/>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pPr>
        <w:spacing w:before="160" w:after="120"/>
      </w:pPr>
      <w:r>
        <w:rPr>
          <w:rFonts w:ascii="Times New Roman" w:hAnsi="Times New Roman" w:eastAsia="Times New Roman"/>
          <w:b/>
          <w:sz w:val="28"/>
        </w:rPr>
        <w:t>4.5 Portfolio Allocation and Strategic Adjustment</w:t>
      </w:r>
    </w:p>
    <w:p>
      <w:pPr>
        <w:spacing w:after="120" w:line="276" w:lineRule="auto"/>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pPr>
        <w:spacing w:before="80" w:after="1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pPr>
        <w:spacing w:before="80" w:after="1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pPr>
        <w:spacing w:before="160" w:after="80"/>
        <w:jc w:val="center"/>
      </w:pPr>
      <w:r>
        <w:rPr>
          <w:rFonts w:ascii="Times New Roman" w:hAnsi="Times New Roman" w:eastAsia="Times New Roman"/>
          <w:b/>
          <w:sz w:val="22"/>
        </w:rPr>
        <w:t>Table 4. Portfolio Adjustment Results</w:t>
      </w:r>
    </w:p>
    <w:tbl>
      <w:tblPr>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2769"/>
        <w:gridCol w:w="2769"/>
        <w:gridCol w:w="2769"/>
      </w:tblGrid>
      <w:tr>
        <w:tc>
          <w:tcPr>
            <w:tcW w:type="dxa" w:w="2769"/>
            <w:shd w:fill="D9EAF7"/>
            <w:tcMar>
              <w:top w:w="90" w:type="dxa"/>
              <w:start w:w="90" w:type="dxa"/>
              <w:bottom w:w="90" w:type="dxa"/>
              <w:end w:w="90" w:type="dxa"/>
            </w:tcMar>
            <w:vAlign w:val="center"/>
          </w:tcPr>
          <w:p>
            <w:pPr>
              <w:jc w:val="center"/>
            </w:pPr>
            <w:r/>
            <w:r>
              <w:rPr>
                <w:rFonts w:ascii="Times New Roman" w:hAnsi="Times New Roman" w:eastAsia="Times New Roman"/>
                <w:b/>
                <w:sz w:val="19"/>
              </w:rPr>
              <w:t>Variable</w:t>
            </w:r>
          </w:p>
        </w:tc>
        <w:tc>
          <w:tcPr>
            <w:tcW w:type="dxa" w:w="2769"/>
            <w:shd w:fill="D9EAF7"/>
            <w:tcMar>
              <w:top w:w="90" w:type="dxa"/>
              <w:start w:w="90" w:type="dxa"/>
              <w:bottom w:w="90" w:type="dxa"/>
              <w:end w:w="90" w:type="dxa"/>
            </w:tcMar>
            <w:vAlign w:val="center"/>
          </w:tcPr>
          <w:p>
            <w:pPr>
              <w:jc w:val="center"/>
            </w:pPr>
            <w:r/>
            <w:r>
              <w:rPr>
                <w:rFonts w:ascii="Times New Roman" w:hAnsi="Times New Roman" w:eastAsia="Times New Roman"/>
                <w:b/>
                <w:sz w:val="19"/>
              </w:rPr>
              <w:t>new_ai_positions</w:t>
            </w:r>
          </w:p>
        </w:tc>
        <w:tc>
          <w:tcPr>
            <w:tcW w:type="dxa" w:w="2769"/>
            <w:shd w:fill="D9EAF7"/>
            <w:tcMar>
              <w:top w:w="90" w:type="dxa"/>
              <w:start w:w="90" w:type="dxa"/>
              <w:bottom w:w="90" w:type="dxa"/>
              <w:end w:w="90" w:type="dxa"/>
            </w:tcMar>
            <w:vAlign w:val="center"/>
          </w:tcPr>
          <w:p>
            <w:pPr>
              <w:jc w:val="center"/>
            </w:pPr>
            <w:r/>
            <w:r>
              <w:rPr>
                <w:rFonts w:ascii="Times New Roman" w:hAnsi="Times New Roman" w:eastAsia="Times New Roman"/>
                <w:b/>
                <w:sz w:val="19"/>
              </w:rPr>
              <w:t>AIShare</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AIExposureZ x Post</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-0.1146***</w:t>
              <w:br/>
              <w:t>(0.0174)</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3.8220***</w:t>
              <w:br/>
              <w:t>(0.2912)</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log_mtna_lag</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0.0020</w:t>
              <w:br/>
              <w:t>(0.0208)</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0.9569***</w:t>
              <w:br/>
              <w:t>(0.2893)</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mret_lag</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0.1674</w:t>
              <w:br/>
              <w:t>(0.2417)</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-1.6534</w:t>
              <w:br/>
              <w:t>(2.0153)</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flow_lag</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0.0096</w:t>
              <w:br/>
              <w:t>(0.1066)</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-0.0207</w:t>
              <w:br/>
              <w:t>(0.6120)</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Fund FE</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Yes</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Yes</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Time FE</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Yes</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Yes</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R-squared</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0.0015</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0.0413</w:t>
            </w:r>
          </w:p>
        </w:tc>
      </w:tr>
      <w:tr>
        <w:tc>
          <w:tcPr>
            <w:tcW w:type="dxa" w:w="2769"/>
            <w:tcMar>
              <w:top w:w="90" w:type="dxa"/>
              <w:start w:w="90" w:type="dxa"/>
              <w:bottom w:w="90" w:type="dxa"/>
              <w:end w:w="90" w:type="dxa"/>
            </w:tcMar>
            <w:vAlign w:val="center"/>
          </w:tcPr>
          <w:p>
            <w:pPr>
              <w:jc w:val="left"/>
            </w:pPr>
            <w:r/>
            <w:r>
              <w:rPr>
                <w:rFonts w:ascii="Times New Roman" w:hAnsi="Times New Roman" w:eastAsia="Times New Roman"/>
                <w:sz w:val="18"/>
              </w:rPr>
              <w:t>Observations</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28,016</w:t>
            </w:r>
          </w:p>
        </w:tc>
        <w:tc>
          <w:tcPr>
            <w:tcW w:type="dxa" w:w="2769"/>
            <w:tcMar>
              <w:top w:w="90" w:type="dxa"/>
              <w:start w:w="90" w:type="dxa"/>
              <w:bottom w:w="90" w:type="dxa"/>
              <w:end w:w="90" w:type="dxa"/>
            </w:tcMar>
            <w:vAlign w:val="center"/>
          </w:tcPr>
          <w:p>
            <w:pPr>
              <w:jc w:val="center"/>
            </w:pPr>
            <w:r/>
            <w:r>
              <w:rPr>
                <w:rFonts w:ascii="Times New Roman" w:hAnsi="Times New Roman" w:eastAsia="Times New Roman"/>
                <w:sz w:val="18"/>
              </w:rPr>
              <w:t>28,016</w:t>
            </w:r>
          </w:p>
        </w:tc>
      </w:tr>
    </w:tbl>
    <w:p>
      <w:pPr>
        <w:spacing w:before="40" w:after="160"/>
      </w:pPr>
      <w:r>
        <w:rPr>
          <w:rFonts w:ascii="Times New Roman" w:hAnsi="Times New Roman" w:eastAsia="Times New Roman"/>
          <w:i/>
          <w:sz w:val="20"/>
        </w:rPr>
        <w:t>Notes: Standard errors clustered at the fund level are reported in parentheses. *** denotes significance at the 1% level. Estimates are taken from the saved output in processed_data/H3.ipynb.</w:t>
      </w:r>
    </w:p>
    <w:p>
      <w:pPr>
        <w:spacing w:after="120" w:line="276" w:lineRule="auto"/>
      </w:pPr>
      <w:r>
        <w:rPr>
          <w:rFonts w:ascii="Times New Roman" w:hAnsi="Times New Roman" w:eastAsia="Times New Roman"/>
          <w:sz w:val="24"/>
        </w:rPr>
        <w:t xml:space="preserve">The two portfolio measures reveal different margins of adjustment. The coefficient on </w:t>
      </w:r>
      <w:r>
        <w:rPr>
          <w:rFonts w:ascii="Times New Roman" w:hAnsi="Times New Roman" w:eastAsia="Times New Roman"/>
          <w:b/>
          <w:sz w:val="24"/>
        </w:rPr>
        <w:t>AIExposureZ x Post</w:t>
      </w:r>
      <w:r>
        <w:rPr>
          <w:rFonts w:ascii="Times New Roman" w:hAnsi="Times New Roman" w:eastAsia="Times New Roman"/>
          <w:sz w:val="24"/>
        </w:rPr>
        <w:t xml:space="preserve"> is negative and significant when the dependent variable is </w:t>
      </w:r>
      <w:r>
        <w:rPr>
          <w:rFonts w:ascii="Times New Roman" w:hAnsi="Times New Roman" w:eastAsia="Times New Roman"/>
          <w:b/>
          <w:sz w:val="24"/>
        </w:rPr>
        <w:t>new_ai_positions</w:t>
      </w:r>
      <w:r>
        <w:rPr>
          <w:rFonts w:ascii="Times New Roman" w:hAnsi="Times New Roman" w:eastAsia="Times New Roman"/>
          <w:sz w:val="24"/>
        </w:rPr>
        <w:t>, indicating that higher-exposure funds did not respond by initiating a larger number of new AI-related positions. Instead, the evidence points away from broad exploratory expansion on the extensive margin.</w:t>
      </w:r>
    </w:p>
    <w:p>
      <w:pPr>
        <w:spacing w:after="120" w:line="276" w:lineRule="auto"/>
      </w:pPr>
      <w:r>
        <w:rPr>
          <w:rFonts w:ascii="Times New Roman" w:hAnsi="Times New Roman" w:eastAsia="Times New Roman"/>
          <w:sz w:val="24"/>
        </w:rPr>
        <w:t xml:space="preserve">By contrast, the coefficient is positive and highly significant when the dependent variable is </w:t>
      </w:r>
      <w:r>
        <w:rPr>
          <w:rFonts w:ascii="Times New Roman" w:hAnsi="Times New Roman" w:eastAsia="Times New Roman"/>
          <w:b/>
          <w:sz w:val="24"/>
        </w:rPr>
        <w:t>AIShare</w:t>
      </w:r>
      <w:r>
        <w:rPr>
          <w:rFonts w:ascii="Times New Roman" w:hAnsi="Times New Roman" w:eastAsia="Times New Roman"/>
          <w:sz w:val="24"/>
        </w:rPr>
        <w:t>. The estimate of 3.8220 implies that a one-standard-deviation increase in pre-shock AI exposure is associated with a 3.82 percentage point higher AI portfolio share after ChatGPT. This effect is economically meaningful and suggests that AI-exposed funds adjusted primarily by increasing the intensity of allocation to AI-related firms rather than by adding many new AI tickers.</w:t>
      </w:r>
    </w:p>
    <w:p>
      <w:pPr>
        <w:spacing w:after="120" w:line="276" w:lineRule="auto"/>
      </w:pPr>
      <w:r>
        <w:rPr>
          <w:rFonts w:ascii="Times New Roman" w:hAnsi="Times New Roman" w:eastAsia="Times New Roman"/>
          <w:sz w:val="24"/>
        </w:rPr>
        <w:t>The supplied H3 notebook reports the portfolio regressions but does not include a saved treatment-control line chart of average AI portfolio share before and after ChatGPT. To avoid introducing a locally generated figure, no additional Figure 3 is reproduced here. The regression evidence nevertheless supports strategic adaptation on the intensive margin: funds already exposed to AI increased their AI-related portfolio share after a major technological shock. H3 is supported primarily through portfolio allocation intensity rather than new position initiation.</w:t>
      </w:r>
    </w:p>
    <w:p>
      <w:pPr>
        <w:spacing w:before="160" w:after="120"/>
      </w:pPr>
      <w:r>
        <w:rPr>
          <w:rFonts w:ascii="Times New Roman" w:hAnsi="Times New Roman" w:eastAsia="Times New Roman"/>
          <w:b/>
          <w:sz w:val="28"/>
        </w:rPr>
        <w:t>4.6 Robustness Tests</w:t>
      </w:r>
    </w:p>
    <w:p>
      <w:pPr>
        <w:spacing w:after="120" w:line="276" w:lineRule="auto"/>
      </w:pPr>
      <w:r>
        <w:rPr>
          <w:rFonts w:ascii="Times New Roman" w:hAnsi="Times New Roman" w:eastAsia="Times New Roman"/>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pPr>
        <w:spacing w:before="160" w:after="80"/>
        <w:jc w:val="center"/>
      </w:pPr>
      <w:r>
        <w:rPr>
          <w:rFonts w:ascii="Times New Roman" w:hAnsi="Times New Roman" w:eastAsia="Times New Roman"/>
          <w:b/>
          <w:sz w:val="22"/>
        </w:rPr>
        <w:t>Table 5. Robustness Tests</w:t>
      </w:r>
    </w:p>
    <w:tbl>
      <w:tblPr>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1384"/>
        <w:gridCol w:w="1384"/>
        <w:gridCol w:w="1384"/>
        <w:gridCol w:w="1384"/>
        <w:gridCol w:w="1384"/>
        <w:gridCol w:w="1384"/>
      </w:tblGrid>
      <w:tr>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Specification</w:t>
            </w:r>
          </w:p>
        </w:tc>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Treatment variable</w:t>
            </w:r>
          </w:p>
        </w:tc>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Coefficient</w:t>
            </w:r>
          </w:p>
        </w:tc>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Std. Err.</w:t>
            </w:r>
          </w:p>
        </w:tc>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Observations</w:t>
            </w:r>
          </w:p>
        </w:tc>
        <w:tc>
          <w:tcPr>
            <w:tcW w:type="dxa" w:w="1384"/>
            <w:shd w:fill="D9EAF7"/>
            <w:tcMar>
              <w:top w:w="90" w:type="dxa"/>
              <w:start w:w="90" w:type="dxa"/>
              <w:bottom w:w="90" w:type="dxa"/>
              <w:end w:w="90" w:type="dxa"/>
            </w:tcMar>
            <w:vAlign w:val="center"/>
          </w:tcPr>
          <w:p>
            <w:pPr>
              <w:jc w:val="center"/>
            </w:pPr>
            <w:r/>
            <w:r>
              <w:rPr>
                <w:rFonts w:ascii="Times New Roman" w:hAnsi="Times New Roman" w:eastAsia="Times New Roman"/>
                <w:b/>
                <w:sz w:val="19"/>
              </w:rPr>
              <w:t>R-squared</w:t>
            </w:r>
          </w:p>
        </w:tc>
      </w:tr>
      <w:tr>
        <w:tc>
          <w:tcPr>
            <w:tcW w:type="dxa" w:w="1384"/>
            <w:tcMar>
              <w:top w:w="90" w:type="dxa"/>
              <w:start w:w="90" w:type="dxa"/>
              <w:bottom w:w="90" w:type="dxa"/>
              <w:end w:w="90" w:type="dxa"/>
            </w:tcMar>
            <w:vAlign w:val="center"/>
          </w:tcPr>
          <w:p>
            <w:pPr>
              <w:jc w:val="left"/>
            </w:pPr>
            <w:r/>
            <w:r>
              <w:rPr>
                <w:rFonts w:ascii="Times New Roman" w:hAnsi="Times New Roman" w:eastAsia="Times New Roman"/>
                <w:sz w:val="18"/>
              </w:rPr>
              <w:t>Continuous exposure</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AIExposureZ x Post</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0.0057***</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0.0009</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81,262</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0.0371</w:t>
            </w:r>
          </w:p>
        </w:tc>
      </w:tr>
      <w:tr>
        <w:tc>
          <w:tcPr>
            <w:tcW w:type="dxa" w:w="1384"/>
            <w:tcMar>
              <w:top w:w="90" w:type="dxa"/>
              <w:start w:w="90" w:type="dxa"/>
              <w:bottom w:w="90" w:type="dxa"/>
              <w:end w:w="90" w:type="dxa"/>
            </w:tcMar>
            <w:vAlign w:val="center"/>
          </w:tcPr>
          <w:p>
            <w:pPr>
              <w:jc w:val="left"/>
            </w:pPr>
            <w:r/>
            <w:r>
              <w:rPr>
                <w:rFonts w:ascii="Times New Roman" w:hAnsi="Times New Roman" w:eastAsia="Times New Roman"/>
                <w:sz w:val="18"/>
              </w:rPr>
              <w:t>Median-split treatment</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AI_dummy_post</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0.0076***</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0.0021</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81,262</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0.0367</w:t>
            </w:r>
          </w:p>
        </w:tc>
      </w:tr>
      <w:tr>
        <w:tc>
          <w:tcPr>
            <w:tcW w:type="dxa" w:w="1384"/>
            <w:tcMar>
              <w:top w:w="90" w:type="dxa"/>
              <w:start w:w="90" w:type="dxa"/>
              <w:bottom w:w="90" w:type="dxa"/>
              <w:end w:w="90" w:type="dxa"/>
            </w:tcMar>
            <w:vAlign w:val="center"/>
          </w:tcPr>
          <w:p>
            <w:pPr>
              <w:jc w:val="left"/>
            </w:pPr>
            <w:r/>
            <w:r>
              <w:rPr>
                <w:rFonts w:ascii="Times New Roman" w:hAnsi="Times New Roman" w:eastAsia="Times New Roman"/>
                <w:sz w:val="18"/>
              </w:rPr>
              <w:t>Top-quartile treatment</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AI_dummy_75_post</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0.0085***</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0.0023</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81,262</w:t>
            </w:r>
          </w:p>
        </w:tc>
        <w:tc>
          <w:tcPr>
            <w:tcW w:type="dxa" w:w="1384"/>
            <w:tcMar>
              <w:top w:w="90" w:type="dxa"/>
              <w:start w:w="90" w:type="dxa"/>
              <w:bottom w:w="90" w:type="dxa"/>
              <w:end w:w="90" w:type="dxa"/>
            </w:tcMar>
            <w:vAlign w:val="center"/>
          </w:tcPr>
          <w:p>
            <w:pPr>
              <w:jc w:val="center"/>
            </w:pPr>
            <w:r/>
            <w:r>
              <w:rPr>
                <w:rFonts w:ascii="Times New Roman" w:hAnsi="Times New Roman" w:eastAsia="Times New Roman"/>
                <w:sz w:val="18"/>
              </w:rPr>
              <w:t>0.0367</w:t>
            </w:r>
          </w:p>
        </w:tc>
      </w:tr>
    </w:tbl>
    <w:p>
      <w:pPr>
        <w:spacing w:before="40" w:after="160"/>
      </w:pPr>
      <w:r>
        <w:rPr>
          <w:rFonts w:ascii="Times New Roman" w:hAnsi="Times New Roman" w:eastAsia="Times New Roman"/>
          <w:i/>
          <w:sz w:val="20"/>
        </w:rPr>
        <w:t>Notes: Estimates are taken from h1_controls_result.txt, h1_binary_median_result.txt, and h1_top_quartile_result.txt. *** denotes significance at the 1% level.</w:t>
      </w:r>
    </w:p>
    <w:p>
      <w:pPr>
        <w:spacing w:after="120" w:line="276" w:lineRule="auto"/>
      </w:pPr>
      <w:r>
        <w:rPr>
          <w:rFonts w:ascii="Times New Roman" w:hAnsi="Times New Roman" w:eastAsia="Times New Roman"/>
          <w:sz w:val="24"/>
        </w:rPr>
        <w:t>The results remain qualitatively unchanged across the available alternative treatment definitions. The median-split treatment produces a positive coefficient of 0.0076, while the top-quartile treatment produces a coefficient of 0.0085. Both estimates are statistically significant at the 1% level and are consistent with the continuous-exposure specification.</w:t>
      </w:r>
    </w:p>
    <w:p>
      <w:pPr>
        <w:spacing w:after="120" w:line="276" w:lineRule="auto"/>
      </w:pPr>
      <w:r>
        <w:rPr>
          <w:rFonts w:ascii="Times New Roman" w:hAnsi="Times New Roman" w:eastAsia="Times New Roman"/>
          <w:sz w:val="24"/>
        </w:rPr>
        <w:t>Placebo timing tests, placebo coefficient distributions, and subsample analyses are not reported in the supplied notebook or results outputs. They are therefore excluded from this chapter rather than reconstructed locally. Within the set of robustness checks that are directly available from the original saved outputs, the evidence supports the conclusion that funds with greater pre-shock AI exposure experienced stronger post-ChatGPT inflows.</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F7D76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316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2026-05-14T08:40:00Z</dcterms:created>
  <dc:creator>果果</dc:creator>
  <cp:lastModifiedBy>果果</cp:lastModifiedBy>
  <dcterms:modified xsi:type="dcterms:W3CDTF">2026-05-16T18:32:57Z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