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7D68B6">
      <w:pPr>
        <w:jc w:val="center"/>
        <w:rPr>
          <w:rFonts w:hint="eastAsia" w:eastAsiaTheme="minorEastAsia"/>
          <w:sz w:val="18"/>
          <w:szCs w:val="21"/>
          <w:lang w:eastAsia="zh-CN"/>
        </w:rPr>
      </w:pPr>
      <w:r>
        <w:rPr>
          <w:rFonts w:hint="eastAsia" w:eastAsiaTheme="minorEastAsia"/>
          <w:sz w:val="18"/>
          <w:szCs w:val="21"/>
          <w:lang w:eastAsia="zh-CN"/>
        </w:rPr>
        <w:drawing>
          <wp:inline distT="0" distB="0" distL="114300" distR="114300">
            <wp:extent cx="3757930" cy="768985"/>
            <wp:effectExtent l="0" t="0" r="1270" b="19050"/>
            <wp:docPr id="1" name="图片 1" descr="西浦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西浦logo"/>
                    <pic:cNvPicPr>
                      <a:picLocks noChangeAspect="1"/>
                    </pic:cNvPicPr>
                  </pic:nvPicPr>
                  <pic:blipFill>
                    <a:blip r:embed="rId4"/>
                    <a:stretch>
                      <a:fillRect/>
                    </a:stretch>
                  </pic:blipFill>
                  <pic:spPr>
                    <a:xfrm>
                      <a:off x="0" y="0"/>
                      <a:ext cx="3757930" cy="768985"/>
                    </a:xfrm>
                    <a:prstGeom prst="rect">
                      <a:avLst/>
                    </a:prstGeom>
                  </pic:spPr>
                </pic:pic>
              </a:graphicData>
            </a:graphic>
          </wp:inline>
        </w:drawing>
      </w:r>
    </w:p>
    <w:p w14:paraId="5728BC98">
      <w:pPr>
        <w:jc w:val="center"/>
        <w:rPr>
          <w:rFonts w:hint="default" w:ascii="Times New Roman Bold" w:hAnsi="Times New Roman Bold" w:cs="Times New Roman Bold" w:eastAsiaTheme="minorEastAsia"/>
          <w:b/>
          <w:bCs/>
          <w:sz w:val="36"/>
          <w:szCs w:val="44"/>
          <w:lang w:eastAsia="zh-CN"/>
        </w:rPr>
      </w:pPr>
      <w:r>
        <w:rPr>
          <w:rFonts w:hint="default" w:ascii="Times New Roman Bold" w:hAnsi="Times New Roman Bold" w:cs="Times New Roman Bold" w:eastAsiaTheme="minorEastAsia"/>
          <w:b/>
          <w:bCs/>
          <w:sz w:val="36"/>
          <w:szCs w:val="44"/>
          <w:lang w:eastAsia="zh-CN"/>
        </w:rPr>
        <w:t>AI Exposure and Capital Flows: The Role of Investor Attention after the ChatGPT Shock</w:t>
      </w:r>
    </w:p>
    <w:p w14:paraId="243E9758">
      <w:pPr>
        <w:jc w:val="center"/>
        <w:rPr>
          <w:rFonts w:hint="default" w:ascii="Times New Roman Bold" w:hAnsi="Times New Roman Bold" w:cs="Times New Roman Bold" w:eastAsiaTheme="minorEastAsia"/>
          <w:b/>
          <w:bCs/>
          <w:sz w:val="36"/>
          <w:szCs w:val="44"/>
          <w:lang w:eastAsia="zh-CN"/>
        </w:rPr>
      </w:pPr>
    </w:p>
    <w:p w14:paraId="2E48124B">
      <w:pPr>
        <w:jc w:val="center"/>
        <w:rPr>
          <w:rFonts w:hint="eastAsia"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B</w:t>
      </w:r>
      <w:r>
        <w:rPr>
          <w:rFonts w:hint="eastAsia" w:ascii="Times New Roman Bold" w:hAnsi="Times New Roman Bold" w:cs="Times New Roman Bold"/>
          <w:b/>
          <w:bCs/>
          <w:sz w:val="32"/>
          <w:szCs w:val="40"/>
          <w:lang w:val="en-US" w:eastAsia="zh-CN"/>
        </w:rPr>
        <w:t>y</w:t>
      </w:r>
    </w:p>
    <w:p w14:paraId="45A4C29B">
      <w:pPr>
        <w:jc w:val="center"/>
        <w:rPr>
          <w:rFonts w:hint="default"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Nan.Lin</w:t>
      </w:r>
    </w:p>
    <w:p w14:paraId="74088382">
      <w:pPr>
        <w:jc w:val="center"/>
        <w:rPr>
          <w:rFonts w:hint="default"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2252173</w:t>
      </w:r>
    </w:p>
    <w:p w14:paraId="1A07E0B7">
      <w:pPr>
        <w:jc w:val="center"/>
        <w:rPr>
          <w:rFonts w:hint="default" w:ascii="Times New Roman Bold" w:hAnsi="Times New Roman Bold" w:cs="Times New Roman Bold"/>
          <w:b/>
          <w:bCs/>
          <w:sz w:val="32"/>
          <w:szCs w:val="40"/>
          <w:lang w:val="en-US" w:eastAsia="zh-CN"/>
        </w:rPr>
      </w:pPr>
    </w:p>
    <w:p w14:paraId="37B9DCAD">
      <w:pPr>
        <w:autoSpaceDE w:val="0"/>
        <w:autoSpaceDN w:val="0"/>
        <w:adjustRightInd w:val="0"/>
        <w:spacing w:line="480" w:lineRule="auto"/>
        <w:jc w:val="center"/>
        <w:rPr>
          <w:rFonts w:hint="default" w:ascii="Times New Roman" w:hAnsi="Times New Roman" w:cs="Times New Roman"/>
          <w:b/>
          <w:bCs/>
          <w:sz w:val="32"/>
          <w:szCs w:val="32"/>
          <w:lang w:val="en-US"/>
        </w:rPr>
      </w:pPr>
      <w:r>
        <w:rPr>
          <w:rFonts w:ascii="Times New Roman" w:hAnsi="Times New Roman" w:cs="Times New Roman"/>
          <w:b/>
          <w:bCs/>
          <w:sz w:val="32"/>
          <w:szCs w:val="32"/>
        </w:rPr>
        <w:t xml:space="preserve">Supervisor: </w:t>
      </w:r>
      <w:r>
        <w:rPr>
          <w:rFonts w:hint="default" w:ascii="Times New Roman" w:hAnsi="Times New Roman" w:cs="Times New Roman"/>
          <w:b/>
          <w:bCs/>
          <w:sz w:val="32"/>
          <w:szCs w:val="32"/>
          <w:lang w:val="en-US"/>
        </w:rPr>
        <w:t>Zihua.Liu</w:t>
      </w:r>
    </w:p>
    <w:p w14:paraId="59A8D4AC">
      <w:pPr>
        <w:autoSpaceDE w:val="0"/>
        <w:autoSpaceDN w:val="0"/>
        <w:adjustRightInd w:val="0"/>
        <w:spacing w:line="480" w:lineRule="auto"/>
        <w:jc w:val="center"/>
        <w:rPr>
          <w:rFonts w:hint="default" w:ascii="Times New Roman" w:hAnsi="Times New Roman" w:cs="Times New Roman"/>
          <w:b/>
          <w:bCs/>
          <w:sz w:val="32"/>
          <w:szCs w:val="32"/>
          <w:lang w:val="en-US"/>
        </w:rPr>
      </w:pPr>
    </w:p>
    <w:p w14:paraId="40444582">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A Dissertation Submitted in Partial Fulfillment of the Requirements for the</w:t>
      </w:r>
    </w:p>
    <w:p w14:paraId="393EE6F8">
      <w:pPr>
        <w:autoSpaceDE w:val="0"/>
        <w:autoSpaceDN w:val="0"/>
        <w:adjustRightInd w:val="0"/>
        <w:spacing w:line="480" w:lineRule="auto"/>
        <w:jc w:val="center"/>
        <w:rPr>
          <w:rFonts w:hint="default" w:ascii="Times New Roman" w:hAnsi="Times New Roman" w:cs="Times New Roman"/>
          <w:b/>
          <w:bCs/>
          <w:sz w:val="32"/>
          <w:szCs w:val="32"/>
          <w:lang w:val="en-US"/>
        </w:rPr>
      </w:pPr>
    </w:p>
    <w:p w14:paraId="6544DC48">
      <w:pPr>
        <w:autoSpaceDE w:val="0"/>
        <w:autoSpaceDN w:val="0"/>
        <w:adjustRightInd w:val="0"/>
        <w:spacing w:line="48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BSc Information Management and Information Systems</w:t>
      </w:r>
    </w:p>
    <w:p w14:paraId="0C96E6DF">
      <w:pPr>
        <w:autoSpaceDE w:val="0"/>
        <w:autoSpaceDN w:val="0"/>
        <w:adjustRightInd w:val="0"/>
        <w:spacing w:line="480" w:lineRule="auto"/>
        <w:jc w:val="center"/>
        <w:rPr>
          <w:rFonts w:hint="default" w:ascii="Times New Roman" w:hAnsi="Times New Roman" w:cs="Times New Roman"/>
          <w:b/>
          <w:bCs/>
          <w:sz w:val="32"/>
          <w:szCs w:val="32"/>
          <w:lang w:val="en-US"/>
        </w:rPr>
      </w:pPr>
    </w:p>
    <w:p w14:paraId="1A96BCD7">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to</w:t>
      </w:r>
    </w:p>
    <w:p w14:paraId="7D0C0EBF">
      <w:pPr>
        <w:autoSpaceDE w:val="0"/>
        <w:autoSpaceDN w:val="0"/>
        <w:adjustRightInd w:val="0"/>
        <w:spacing w:line="480" w:lineRule="auto"/>
        <w:jc w:val="center"/>
        <w:rPr>
          <w:rFonts w:ascii="Times New Roman" w:hAnsi="Times New Roman" w:cs="Times New Roman"/>
          <w:b/>
          <w:bCs/>
          <w:sz w:val="32"/>
          <w:szCs w:val="32"/>
        </w:rPr>
      </w:pPr>
    </w:p>
    <w:p w14:paraId="32BAFFF6">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International Business School Suzhou</w:t>
      </w:r>
    </w:p>
    <w:p w14:paraId="113DF5B6">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Xi’an Jiaotong-Liverpool University</w:t>
      </w:r>
    </w:p>
    <w:p w14:paraId="134DC377">
      <w:pPr>
        <w:autoSpaceDE w:val="0"/>
        <w:autoSpaceDN w:val="0"/>
        <w:adjustRightInd w:val="0"/>
        <w:spacing w:line="480" w:lineRule="auto"/>
        <w:jc w:val="center"/>
        <w:rPr>
          <w:rFonts w:ascii="Times New Roman" w:hAnsi="Times New Roman" w:cs="Times New Roman"/>
          <w:b/>
          <w:bCs/>
          <w:sz w:val="32"/>
          <w:szCs w:val="32"/>
        </w:rPr>
      </w:pPr>
    </w:p>
    <w:p w14:paraId="79DC9578">
      <w:pPr>
        <w:autoSpaceDE w:val="0"/>
        <w:autoSpaceDN w:val="0"/>
        <w:adjustRightInd w:val="0"/>
        <w:spacing w:line="48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May 18, 2026</w:t>
      </w:r>
    </w:p>
    <w:p w14:paraId="274E5FB4">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8"/>
          <w:szCs w:val="28"/>
          <w:lang w:val="en-US" w:eastAsia="zh-CN"/>
        </w:rPr>
      </w:pPr>
      <w:r>
        <w:rPr>
          <w:rFonts w:hint="default" w:ascii="Times New Roman Bold" w:hAnsi="Times New Roman Bold" w:eastAsia="标准粗黑" w:cs="Times New Roman Bold"/>
          <w:b/>
          <w:bCs/>
          <w:sz w:val="28"/>
          <w:szCs w:val="28"/>
          <w:lang w:val="en-US" w:eastAsia="zh-CN"/>
        </w:rPr>
        <w:t>1. Introduction</w:t>
      </w:r>
    </w:p>
    <w:p w14:paraId="307376AD">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4"/>
          <w:szCs w:val="24"/>
          <w:lang w:val="en-US" w:eastAsia="zh-CN"/>
        </w:rPr>
      </w:pPr>
      <w:r>
        <w:rPr>
          <w:rFonts w:hint="default" w:ascii="Times New Roman Bold" w:hAnsi="Times New Roman Bold" w:eastAsia="标准粗黑" w:cs="Times New Roman Bold"/>
          <w:b/>
          <w:bCs/>
          <w:sz w:val="24"/>
          <w:szCs w:val="24"/>
          <w:lang w:val="en-US" w:eastAsia="zh-CN"/>
        </w:rPr>
        <w:t>1.1 Research Background</w:t>
      </w:r>
    </w:p>
    <w:p w14:paraId="5F2EDFC0">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 rapid development of generative artificial intelligence has become one of the most important technological events affecting financial markets in recent years. The release of ChatGPT in November 2022 marked a particularly visible turning point, as it substantially increased public awareness of the commercial potential of artificial intelligence and intensified investor attention toward AI-related firms. Following this event, companies associated with semiconductors, cloud computing, machine learning infrastructure, and AI applications attracted considerable market interest, reflecting expectations that generative AI could reshape productivity, firm value, and future economic growth.</w:t>
      </w:r>
    </w:p>
    <w:p w14:paraId="2FDF243A">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DC56DA0">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This technological shock is particularly relevant to the mutual fund industry. Mutual funds act as major institutional investors and important channels through which household and institutional capital is allocated to financial markets. If investors perceive AI-related firms as future growth opportunities, they may respond not only by purchasing individual AI stocks, but also by reallocating capital toward mutual funds that already hold greater exposure to AI-related assets. Therefore, the ChatGPT shock provides a useful setting to examine whether technological narratives and investor attention translate into measurable fund flow responses.</w:t>
      </w:r>
    </w:p>
    <w:p w14:paraId="390FAC3F">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7C1E45A">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However, investor reactions may not depend only on AI exposure. Prior fund performance may also matter because investors often interpret past performance as a signal of managerial ability and investment credibility. A fund with high AI exposure and strong historical performance may therefore be viewed as better positioned to benefit from the AI boom than a similarly exposed fund with weaker past performance. In addition, fund managers themselves may respond strategically to the AI shock by adjusting their portfolios toward more exploratory allocations, especially when new technological opportunities emerge rapidly.</w:t>
      </w:r>
    </w:p>
    <w:p w14:paraId="444B6166">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1.2 Research Problem and Objectives</w:t>
      </w:r>
    </w:p>
    <w:p w14:paraId="78E12D39">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Although existing studies have examined artificial intelligence, investor attention, and mutual fund flows separately, relatively limited evidence exists on how a major generative AI shock affects capital allocation within the mutual fund industry. In particular, it remains unclear whether funds with higher pre-existing AI exposure attracted stronger investor inflows after the release of ChatGPT, whether this effect differed across funds with different prior performance, and whether AI-exposed funds subsequently adjusted their investment strategies.</w:t>
      </w:r>
    </w:p>
    <w:p w14:paraId="3A78A293">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1C0CA98">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This study addresses this gap by examining the impact of the ChatGPT shock on U.S. mutual fund flows and portfolio behavior. The first objective is to test whether funds with higher AI exposure experienced greater post-shock inflows. The second objective is to investigate whether prior fund performance strengthens this relationship. The third objective is to explore whether AI-exposed funds adopted more exploratory portfolio allocation strategies after the emergence of generative AI.</w:t>
      </w:r>
    </w:p>
    <w:p w14:paraId="15FD1448">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A47774D">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Based on these objectives, this thesis asks three research questions:</w:t>
      </w:r>
    </w:p>
    <w:p w14:paraId="200183AE">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9FC761E">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RQ1: Did mutual funds with higher AI-related asset exposure experience significantly greater investor inflows after the release of ChatGPT?</w:t>
      </w:r>
    </w:p>
    <w:p w14:paraId="2D5961C1">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8424930">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RQ2: Did prior fund performance moderate the relationship between AI exposure and post-ChatGPT fund flows?</w:t>
      </w:r>
    </w:p>
    <w:p w14:paraId="38586582">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179BAC0">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Time" w:cs="Times New Roman"/>
          <w:b w:val="0"/>
          <w:bCs/>
          <w:i w:val="0"/>
          <w:iCs/>
          <w:sz w:val="24"/>
          <w:szCs w:val="24"/>
          <w:lang w:val="en-US" w:eastAsia="zh-CN"/>
        </w:rPr>
      </w:pPr>
      <w:r>
        <w:rPr>
          <w:rFonts w:hint="default" w:ascii="Times New Roman" w:hAnsi="Times New Roman" w:eastAsia="Time" w:cs="Times New Roman"/>
          <w:b w:val="0"/>
          <w:bCs/>
          <w:i w:val="0"/>
          <w:iCs/>
          <w:sz w:val="24"/>
          <w:szCs w:val="24"/>
          <w:lang w:val="en-US" w:eastAsia="zh-CN"/>
        </w:rPr>
        <w:t>RQ3: Did AI-exposed mutual funds exhibit greater exploratory portfolio allocation behavior following the ChatGPT shock?</w:t>
      </w:r>
    </w:p>
    <w:p w14:paraId="65A48842">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25E7512">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4"/>
          <w:szCs w:val="24"/>
          <w:lang w:val="en-US" w:eastAsia="zh-CN"/>
        </w:rPr>
      </w:pPr>
      <w:r>
        <w:rPr>
          <w:rFonts w:hint="default" w:ascii="Times New Roman Bold" w:hAnsi="Times New Roman Bold" w:eastAsia="标准粗黑" w:cs="Times New Roman Bold"/>
          <w:b/>
          <w:bCs/>
          <w:sz w:val="24"/>
          <w:szCs w:val="24"/>
          <w:lang w:val="en-US" w:eastAsia="zh-CN"/>
        </w:rPr>
        <w:t>1.3 Research Design and Contributions</w:t>
      </w:r>
    </w:p>
    <w:p w14:paraId="09F1C1C2">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To answer these questions, this study constructs a panel dataset of U.S. mutual funds using CRSP mutual fund return, asset, and holdings-related data. AI exposure is measured based on the proportion of fund holdings allocated to AI-related firms before the release of ChatGPT. The main empirical strategy applies a Difference-in-Differences framework that compares changes in fund flows between funds with different levels of AI exposure before and after the ChatGPT shock. Event-study analysis is further used to examine pre-treatment trends, while heterogeneity analysis and robustness tests are conducted to assess the validity of the results.</w:t>
      </w:r>
    </w:p>
    <w:p w14:paraId="2EA4B22E">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46FA782">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This study contributes to the literature in several ways. First, it adds to the emerging research on artificial intelligence and financial markets by shifting attention from firm-level stock reactions to institutional capital allocation through mutual funds. Second, it contributes to the investor attention literature by showing how a highly visible technological event may redirect capital toward funds associated with a popular investment theme. Third, it extends mutual fund research by examining how historical performance interacts with AI exposure in shaping investor responses. Finally, by investigating exploratory portfolio adjustments, this study provides evidence on how fund managers adapt to technological shocks.</w:t>
      </w:r>
    </w:p>
    <w:p w14:paraId="17049D9D">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6D647B8">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1.4 Thesis Structure</w:t>
      </w:r>
    </w:p>
    <w:p w14:paraId="1752955E">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 remainder of this thesis is organized as follows. Chapter 2 reviews the relevant literature and develops the research hypotheses. Chapter 3 introduces the data, variable construction, and empirical methodology. Chapter 4 presents the empirical results, including baseline estimations, event-study analysis, heterogeneity tests, and robustness checks. Chapter 5 discusses the findings in relation to existing literature and considers their implications. Chapter 6 concludes the thesis by summarizing the main findings, limitations, and directions for future research.</w:t>
      </w:r>
    </w:p>
    <w:p w14:paraId="4AA0A174">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8"/>
          <w:szCs w:val="28"/>
          <w:lang w:val="en-US" w:eastAsia="zh-CN"/>
        </w:rPr>
      </w:pPr>
    </w:p>
    <w:p w14:paraId="66B5A6F0">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8"/>
          <w:szCs w:val="28"/>
          <w:lang w:val="en-US" w:eastAsia="zh-CN"/>
        </w:rPr>
        <w:t>2. Literature Review and Hypothesis Development</w:t>
      </w:r>
    </w:p>
    <w:p w14:paraId="0106707F">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2.1 Artificial Intelligence and Financial Markets</w:t>
      </w:r>
    </w:p>
    <w:p w14:paraId="40B3F488">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Artificial intelligence has become one of the most influential technological developments affecting modern financial markets. Rapid advances in machine learning, natural language processing, and generative AI technologies have significantly increased investor attention toward firms associated with AI innovation. In particular, the release of ChatGPT in November 2022 accelerated market optimism regarding the future commercial potential of generative artificial intelligence and triggered substantial valuation increases among AI-related firms.</w:t>
      </w:r>
    </w:p>
    <w:p w14:paraId="77894273">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B0669D0">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Prior studies suggest that technological innovation can generate significant effects on investor expectations and asset prices because investors often associate emerging technologies with future productivity growth and long-term profitability. During periods of technological excitement, financial markets may exhibit strong thematic investment behavior, where capital flows disproportionately toward firms connected to emerging innovation trends. The rapid rise of AI-related stocks following the emergence of ChatGPT reflects this phenomenon and indicates that investors increasingly viewed artificial intelligence as a transformative economic force.</w:t>
      </w:r>
    </w:p>
    <w:p w14:paraId="7CDF6083">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CB55748">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Existing research on artificial intelligence and financial markets has primarily focused on firm-level outcomes, including stock returns, innovation performance, and AI adoption. However, relatively limited attention has been paid to how AI-related technological shocks influence institutional capital allocation through mutual funds. Since mutual funds represent major institutional investors within financial markets, understanding how they respond to technological shocks is important for examining the broader transmission of AI-related market sentiment into investment behavior.</w:t>
      </w:r>
    </w:p>
    <w:p w14:paraId="21C642BB">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86F235A">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4"/>
          <w:szCs w:val="24"/>
          <w:lang w:val="en-US" w:eastAsia="zh-CN"/>
        </w:rPr>
      </w:pPr>
      <w:r>
        <w:rPr>
          <w:rFonts w:hint="default" w:ascii="Times New Roman Bold" w:hAnsi="Times New Roman Bold" w:eastAsia="标准粗黑" w:cs="Times New Roman Bold"/>
          <w:b/>
          <w:bCs/>
          <w:sz w:val="24"/>
          <w:szCs w:val="24"/>
          <w:lang w:val="en-US" w:eastAsia="zh-CN"/>
        </w:rPr>
        <w:t>2.2 Investor Attention and Capital Flows</w:t>
      </w:r>
    </w:p>
    <w:p w14:paraId="2DE5E28D">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Investor attention plays an important role in shaping financial market behavior and capital allocation decisions. Prior literature argues that investors face limited attention and therefore tend to allocate capital toward assets or investment themes that receive greater public visibility and media coverage. As a result, highly visible events often attract disproportionate investor interest and generate abnormal trading activity or capital flows.</w:t>
      </w:r>
    </w:p>
    <w:p w14:paraId="68F72D67">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4DB4D01">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 emergence of ChatGPT represents a particularly important attention-generating event because it rapidly increased public awareness of generative artificial intelligence technologies within a short period of time. Extensive media coverage, public discussion, and strong stock market reactions surrounding AI-related firms likely increased investor demand for investment vehicles associated with artificial intelligence themes. In this context, mutual funds with greater pre-existing exposure to AI-related firms may have benefited from increased investor attention and thematic capital allocation.</w:t>
      </w:r>
    </w:p>
    <w:p w14:paraId="17DE56A3">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0EFBE10">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Previous studies on mutual fund flows suggest that investors frequently direct capital toward funds associated with popular market narratives or investment opportunities. Thematic investing behavior is especially common during periods of technological innovation or market optimism, when investors attempt to gain exposure to emerging growth sectors. Therefore, if investors perceived AI-related industries as future growth opportunities after the release of ChatGPT, funds with higher AI exposure may have attracted greater investor inflows relative to less exposed funds.</w:t>
      </w:r>
    </w:p>
    <w:p w14:paraId="77CF81FD">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4771016">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Based on the above discussion, this study proposes the following hypothesis:</w:t>
      </w:r>
    </w:p>
    <w:p w14:paraId="76288642">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52BB777">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H1: Mutual funds with higher AI-related asset exposure experienced significantly greater investor inflows after the release of ChatGPT.</w:t>
      </w:r>
    </w:p>
    <w:p w14:paraId="1726B403">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5FCD4D5">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2.3 Mutual Fund Performance and Investor Response</w:t>
      </w:r>
    </w:p>
    <w:p w14:paraId="68600EE5">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In addition to thematic exposure, prior fund performance is also an important determinant of investor capital allocation decisions. Extensive literature on mutual fund flows documents that investors tend to allocate more capital toward funds with superior historical performance. This phenomenon, commonly referred to as performance-chasing behavior, reflects the tendency of investors to interpret past returns as signals of managerial skill, investment ability, and information advantages.</w:t>
      </w:r>
    </w:p>
    <w:p w14:paraId="3EDDBD4F">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E1565EA">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Funds with strong historical performance may therefore enjoy greater credibility among investors during periods of market uncertainty or technological change. In the context of the ChatGPT shock, investors may have viewed high-performing AI-exposed funds as being better positioned to benefit from the rapid expansion of AI-related industries. Conversely, funds with weaker historical performance may have been less successful in attracting investor confidence even if they possessed similar AI-related asset exposure.</w:t>
      </w:r>
    </w:p>
    <w:p w14:paraId="3CE4B86B">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85935A2">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Prior research also suggests that investor responses to new investment opportunities are often influenced by both market narratives and managerial reputation. Therefore, the relationship between AI exposure and investor fund flows may not be uniform across all funds. Instead, historical performance may strengthen the positive impact of AI exposure on post-ChatGPT investor inflows.</w:t>
      </w:r>
    </w:p>
    <w:p w14:paraId="50594717">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56983A5">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Based on this reasoning, the following hypothesis is proposed:</w:t>
      </w:r>
    </w:p>
    <w:p w14:paraId="1C08601D">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0BF6366">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H2: The positive relationship between AI exposure and post-ChatGPT investor inflows is stronger among funds with superior prior performance.</w:t>
      </w:r>
    </w:p>
    <w:p w14:paraId="72D7627C">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7340A0D">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2.4 Technological Shocks and Institutional Adaptation</w:t>
      </w:r>
    </w:p>
    <w:p w14:paraId="6DDC0D16">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Technological shocks may influence not only investor behavior but also institutional investment strategies. When major technological innovations emerge, institutional investors often adjust their portfolio allocation decisions to capture new growth opportunities and respond to changing market expectations. Such adjustments may involve increasing investments in emerging industries, reallocating capital across sectors, or adopting more exploratory investment strategies.</w:t>
      </w:r>
    </w:p>
    <w:p w14:paraId="2BFDD875">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0FBDA9F0">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 emergence of generative artificial intelligence may have created strong incentives for fund managers to actively reposition their portfolios toward AI-related opportunities. Since technological innovation can rapidly reshape competitive advantages and future market expectations, institutional investors may attempt to increase exposure to firms associated with emerging technologies in order to improve future performance and maintain competitiveness.</w:t>
      </w:r>
    </w:p>
    <w:p w14:paraId="2FFAC0DB">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0928DB7">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Exploratory investment behavior is particularly relevant during periods of technological transformation because investors face substantial uncertainty regarding which firms or industries will ultimately benefit from innovation. As a result, fund managers may increase portfolio experimentation, diversify into new technological sectors, or adjust investment strategies more aggressively following major technological shocks.</w:t>
      </w:r>
    </w:p>
    <w:p w14:paraId="60557843">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4302260">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In the context of the ChatGPT shock, mutual funds with higher AI exposure may have been more likely to adopt exploratory portfolio allocation behavior due to stronger incentives to capitalize on AI-related market opportunities. This leads to the following hypothesis:</w:t>
      </w:r>
    </w:p>
    <w:p w14:paraId="699A2261">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19C7C6C">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H3: AI-exposed mutual funds exhibited greater exploratory portfolio allocation behavior following the ChatGPT shock.</w:t>
      </w:r>
    </w:p>
    <w:p w14:paraId="17010A09">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0797BFD">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2.5 Research Gap</w:t>
      </w:r>
    </w:p>
    <w:p w14:paraId="08F16FBF">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Although previous studies have examined artificial intelligence, investor attention, and mutual fund behavior, several important gaps remain in the existing literature.</w:t>
      </w:r>
    </w:p>
    <w:p w14:paraId="0DBD5E54">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435E18A">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First, most studies on artificial intelligence and financial markets focus primarily on firm-level stock reactions, AI adoption, or technological innovation, while comparatively limited attention has been paid to institutional capital allocation through mutual funds. Second, although investor attention literature suggests that highly visible events can influence capital flows, existing research has not sufficiently examined whether the emergence of generative artificial intelligence redirected investor capital toward AI-exposed mutual funds.</w:t>
      </w:r>
    </w:p>
    <w:p w14:paraId="6B93A574">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EC82272">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Third, prior mutual fund studies largely focus on traditional determinants of fund flows such as performance, risk, and fees, while relatively little evidence exists regarding how technological narratives interact with historical performance to shape investor behavior. Finally, limited research has explored whether institutional investors strategically adjusted their portfolio allocation behavior following the emergence of generative AI technologies.</w:t>
      </w:r>
    </w:p>
    <w:p w14:paraId="4415D085">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8B7BEE4">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Therefore, this study seeks to address these gaps by examining how the ChatGPT shock influenced mutual fund flows, how prior performance moderated investor responses, and whether AI-exposed funds adopted more exploratory investment strategies after the emergence of generative artificial intelligence.</w:t>
      </w:r>
    </w:p>
    <w:p w14:paraId="71E57DEF">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BF1649A">
      <w:pPr>
        <w:keepNext w:val="0"/>
        <w:keepLines w:val="0"/>
        <w:pageBreakBefore w:val="0"/>
        <w:numPr>
          <w:ilvl w:val="0"/>
          <w:numId w:val="1"/>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8"/>
          <w:szCs w:val="28"/>
          <w:lang w:val="en-US" w:eastAsia="zh-CN"/>
        </w:rPr>
      </w:pPr>
      <w:r>
        <w:rPr>
          <w:rFonts w:hint="default" w:ascii="Times New Roman Bold" w:hAnsi="Times New Roman Bold" w:eastAsia="标准粗黑" w:cs="Times New Roman Bold"/>
          <w:b/>
          <w:bCs/>
          <w:sz w:val="28"/>
          <w:szCs w:val="28"/>
          <w:lang w:val="en-US" w:eastAsia="zh-CN"/>
        </w:rPr>
        <w:t>Research Design and Methodology</w:t>
      </w:r>
    </w:p>
    <w:p w14:paraId="735AC536">
      <w:pPr>
        <w:keepNext w:val="0"/>
        <w:keepLines w:val="0"/>
        <w:pageBreakBefore w:val="0"/>
        <w:numPr>
          <w:ilvl w:val="1"/>
          <w:numId w:val="1"/>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4"/>
          <w:szCs w:val="24"/>
          <w:lang w:val="en-US" w:eastAsia="zh-CN"/>
        </w:rPr>
      </w:pPr>
      <w:r>
        <w:rPr>
          <w:rFonts w:hint="default" w:ascii="Times New Roman Bold" w:hAnsi="Times New Roman Bold" w:eastAsia="标准粗黑" w:cs="Times New Roman Bold"/>
          <w:b/>
          <w:bCs/>
          <w:sz w:val="24"/>
          <w:szCs w:val="24"/>
          <w:lang w:val="en-US" w:eastAsia="zh-CN"/>
        </w:rPr>
        <w:t>Research Design</w:t>
      </w:r>
    </w:p>
    <w:p w14:paraId="5B502A7D">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bookmarkStart w:id="0" w:name="_GoBack"/>
      <w:bookmarkEnd w:id="0"/>
    </w:p>
    <w:p w14:paraId="07C28707">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5AE75CE">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A30984B">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E16EFC8">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2D5A2D8">
      <w:pPr>
        <w:autoSpaceDE w:val="0"/>
        <w:autoSpaceDN w:val="0"/>
        <w:adjustRightInd w:val="0"/>
        <w:spacing w:line="48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 </w:t>
      </w:r>
    </w:p>
    <w:p w14:paraId="7D826B56">
      <w:pPr>
        <w:jc w:val="center"/>
        <w:rPr>
          <w:rFonts w:hint="default" w:ascii="Times New Roman Bold" w:hAnsi="Times New Roman Bold" w:cs="Times New Roman Bold"/>
          <w:b/>
          <w:bCs/>
          <w:sz w:val="32"/>
          <w:szCs w:val="40"/>
          <w:lang w:val="en-US" w:eastAsia="zh-CN"/>
        </w:rPr>
      </w:pPr>
    </w:p>
    <w:sectPr>
      <w:pgSz w:w="11906" w:h="16838"/>
      <w:pgMar w:top="1440" w:right="1800" w:bottom="1440" w:left="1800" w:header="851" w:footer="992" w:gutter="0"/>
      <w:paperSrc/>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Times New Roman Bold">
    <w:panose1 w:val="02020503050405090304"/>
    <w:charset w:val="00"/>
    <w:family w:val="auto"/>
    <w:pitch w:val="default"/>
    <w:sig w:usb0="E0000AFF" w:usb1="00007843" w:usb2="00000001" w:usb3="00000000" w:csb0="400001BF" w:csb1="DFF70000"/>
  </w:font>
  <w:font w:name="TimesNewRomanPS-BoldMT">
    <w:panose1 w:val="02020503050405090304"/>
    <w:charset w:val="00"/>
    <w:family w:val="auto"/>
    <w:pitch w:val="default"/>
    <w:sig w:usb0="E0000AFF" w:usb1="00007843" w:usb2="00000001" w:usb3="00000000" w:csb0="400001BF" w:csb1="DFF70000"/>
  </w:font>
  <w:font w:name="标准粗黑">
    <w:panose1 w:val="02000503000000000000"/>
    <w:charset w:val="86"/>
    <w:family w:val="auto"/>
    <w:pitch w:val="default"/>
    <w:sig w:usb0="8000002F" w:usb1="084164FA" w:usb2="00000012" w:usb3="00000000" w:csb0="00040001" w:csb1="00000000"/>
  </w:font>
  <w:font w:name="Time">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DejaVu Math TeX Gyre">
    <w:panose1 w:val="02000503000000000000"/>
    <w:charset w:val="00"/>
    <w:family w:val="auto"/>
    <w:pitch w:val="default"/>
    <w:sig w:usb0="A10000EF" w:usb1="4201F9EE" w:usb2="02000000" w:usb3="00000000" w:csb0="60000193" w:csb1="0DD40000"/>
  </w:font>
  <w:font w:name="Cambria Math">
    <w:altName w:val="Kingsoft Math"/>
    <w:panose1 w:val="00000000000000000000"/>
    <w:charset w:val="00"/>
    <w:family w:val="auto"/>
    <w:pitch w:val="default"/>
    <w:sig w:usb0="00000000" w:usb1="00000000" w:usb2="00000000" w:usb3="00000000" w:csb0="00000000" w:csb1="00000000"/>
  </w:font>
  <w:font w:name="Kingsoft Math">
    <w:panose1 w:val="02040503050406030204"/>
    <w:charset w:val="00"/>
    <w:family w:val="auto"/>
    <w:pitch w:val="default"/>
    <w:sig w:usb0="80000087" w:usb1="00002068" w:usb2="00000000" w:usb3="00000000" w:csb0="2000019F" w:csb1="00000000"/>
  </w:font>
  <w:font w:name="MS Mincho">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CEDBF0"/>
    <w:multiLevelType w:val="multilevel"/>
    <w:tmpl w:val="DFCEDBF0"/>
    <w:lvl w:ilvl="0" w:tentative="0">
      <w:start w:val="3"/>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F96B05"/>
    <w:rsid w:val="3FF96B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305</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2026-05-14T00:40:00Z</dcterms:created>
  <dc:creator>果果</dc:creator>
  <cp:lastModifiedBy>果果</cp:lastModifiedBy>
  <dcterms:modified xsi:type="dcterms:W3CDTF">2026-05-16T16:43:53Z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A2F483165FC009FD99A9046A3EC34B49_41</vt:lpwstr>
  </property>
</Properties>
</file>