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bookmarkStart w:id="0" w:name="_GoBack"/>
      <w:bookmarkEnd w:id="0"/>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41D3A34E">
      <w:pPr>
        <w:spacing w:before="0" w:after="0" w:line="360" w:lineRule="auto"/>
        <w:jc w:val="left"/>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288912DC">
      <w:pPr>
        <w:spacing w:before="0" w:after="0" w:line="360" w:lineRule="auto"/>
        <w:jc w:val="left"/>
      </w:pPr>
    </w:p>
    <w:p>
      <w:r>
        <w:br w:type="page"/>
      </w:r>
    </w:p>
    <w:p>
      <w:pPr>
        <w:spacing w:before="200" w:after="120"/>
      </w:pPr>
      <w:r>
        <w:rPr>
          <w:rFonts w:ascii="Times New Roman" w:hAnsi="Times New Roman" w:eastAsia="Times New Roman"/>
          <w:b/>
          <w:sz w:val="32"/>
        </w:rPr>
        <w:t>Chapter 4 Empirical Results</w:t>
      </w:r>
    </w:p>
    <w:p>
      <w:pPr>
        <w:spacing w:before="160" w:after="120"/>
      </w:pPr>
      <w:r>
        <w:rPr>
          <w:rFonts w:ascii="Times New Roman" w:hAnsi="Times New Roman" w:eastAsia="Times New Roman"/>
          <w:b/>
          <w:sz w:val="28"/>
        </w:rPr>
        <w:t>4.1 Descriptive Statistics</w:t>
      </w:r>
    </w:p>
    <w:p>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pPr>
        <w:spacing w:before="160" w:after="80"/>
        <w:jc w:val="center"/>
      </w:pPr>
      <w:r>
        <w:rPr>
          <w:rFonts w:ascii="Times New Roman" w:hAnsi="Times New Roman" w:eastAsia="Times New Roman"/>
          <w:b/>
          <w:sz w:val="22"/>
        </w:rPr>
        <w:t>Table 1. Summary Statistics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7"/>
              </w:rPr>
              <w:t>Variable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7"/>
              </w:rPr>
              <w:t>Mean</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7"/>
              </w:rPr>
              <w:t>Std.</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7"/>
              </w:rPr>
              <w:t>Min</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7"/>
              </w:rPr>
              <w:t>Max</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7"/>
              </w:rPr>
              <w:t>Median</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flow_w</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-0.002589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0.108019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-0.391568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0.654824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-0.006756</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AIExposureZ</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0.008942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0.978815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-2.083038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1.667393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0.323309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3.744700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2.829496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-2.302585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11.781222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3.808882</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0.010386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0.065432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-0.742038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0.684039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0.013057</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-0.002440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0.107940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-0.391568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0.654824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-0.006696</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alpha</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-0.003180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0.004492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-0.045557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0.017952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-0.002811</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7"/>
              </w:rPr>
              <w:t>AIShare</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21.613358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34.211737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-9.629999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179.949946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7"/>
              </w:rPr>
              <w:t>3.599999</w:t>
            </w:r>
          </w:p>
        </w:tc>
      </w:tr>
    </w:tbl>
    <w:p>
      <w:pPr>
        <w:spacing w:before="40" w:after="160"/>
      </w:pPr>
      <w:r>
        <w:rPr>
          <w:rFonts w:ascii="Times New Roman" w:hAnsi="Times New Roman" w:eastAsia="Times New Roman"/>
          <w:i/>
          <w:sz w:val="19"/>
        </w:rPr>
        <w:t>Notes: Statistics are taken from the saved outputs in H1+H2.ipynb and processed_data/H3.ipynb. AIShare is reported from the H3 fund-quarter panel as percent_tna. No additional descriptive calculations are introduced in this chapter.</w:t>
      </w:r>
    </w:p>
    <w:p>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pPr>
        <w:spacing w:after="120" w:line="276" w:lineRule="auto"/>
      </w:pPr>
      <w:r>
        <w:rPr>
          <w:rFonts w:ascii="Times New Roman" w:hAnsi="Times New Roman" w:eastAsia="Times New Roman"/>
          <w:sz w:val="24"/>
        </w:rPr>
        <w:t>A separate correlation matrix is not reported because it is not included in the submitted notebook output. To avoid introducing newly calculated evidence, the discussion focuses on the saved summary statistics and graphical output. The available descriptive evidence supports the empirical design: fund flows cluster around zero, AI exposure varies meaningfully across funds, and lagged size, return, and flow controls are available for the main regression specifications.</w:t>
      </w:r>
    </w:p>
    <w:p>
      <w:pPr>
        <w:spacing w:before="160" w:after="80"/>
        <w:jc w:val="center"/>
      </w:pPr>
      <w:r>
        <w:rPr>
          <w:rFonts w:ascii="Times New Roman" w:hAnsi="Times New Roman" w:eastAsia="Times New Roman"/>
          <w:b/>
          <w:sz w:val="22"/>
        </w:rPr>
        <w:t>Figure 1. Distribution of Pre-Shock AI Exposure</w:t>
      </w:r>
    </w:p>
    <w:p>
      <w:pPr>
        <w:jc w:val="center"/>
      </w:pPr>
      <w:r>
        <w:drawing>
          <wp:inline xmlns:a="http://schemas.openxmlformats.org/drawingml/2006/main" xmlns:pic="http://schemas.openxmlformats.org/drawingml/2006/picture">
            <wp:extent cx="5120640" cy="3462879"/>
            <wp:docPr id="2" name="Picture 2"/>
            <wp:cNvGraphicFramePr>
              <a:graphicFrameLocks noChangeAspect="1"/>
            </wp:cNvGraphicFramePr>
            <a:graphic>
              <a:graphicData uri="http://schemas.openxmlformats.org/drawingml/2006/picture">
                <pic:pic>
                  <pic:nvPicPr>
                    <pic:cNvPr id="0" name="H1_H2_cell16_out0.png"/>
                    <pic:cNvPicPr/>
                  </pic:nvPicPr>
                  <pic:blipFill>
                    <a:blip r:embed="rId7"/>
                    <a:stretch>
                      <a:fillRect/>
                    </a:stretch>
                  </pic:blipFill>
                  <pic:spPr>
                    <a:xfrm>
                      <a:off x="0" y="0"/>
                      <a:ext cx="5120640" cy="3462879"/>
                    </a:xfrm>
                    <a:prstGeom prst="rect"/>
                  </pic:spPr>
                </pic:pic>
              </a:graphicData>
            </a:graphic>
          </wp:inline>
        </w:drawing>
      </w:r>
    </w:p>
    <w:p>
      <w:pPr>
        <w:spacing w:before="40" w:after="160"/>
      </w:pPr>
      <w:r>
        <w:rPr>
          <w:rFonts w:ascii="Times New Roman" w:hAnsi="Times New Roman" w:eastAsia="Times New Roman"/>
          <w:i/>
          <w:sz w:val="19"/>
        </w:rPr>
        <w:t>Source: saved figure output from H1+H2.ipynb.</w:t>
      </w:r>
    </w:p>
    <w:p>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pPr>
        <w:spacing w:before="160" w:after="120"/>
      </w:pPr>
      <w:r>
        <w:rPr>
          <w:rFonts w:ascii="Times New Roman" w:hAnsi="Times New Roman" w:eastAsia="Times New Roman"/>
          <w:b/>
          <w:sz w:val="28"/>
        </w:rPr>
        <w:t>4.2 Baseline Difference-in-Differences Results</w:t>
      </w:r>
    </w:p>
    <w:p>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pPr>
        <w:spacing w:before="160" w:after="80"/>
        <w:jc w:val="center"/>
      </w:pPr>
      <w:r>
        <w:rPr>
          <w:rFonts w:ascii="Times New Roman" w:hAnsi="Times New Roman" w:eastAsia="Times New Roman"/>
          <w:b/>
          <w:sz w:val="22"/>
        </w:rPr>
        <w:t>Table 2. Baseline DiD Regression Results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Parameter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Coefficient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Std. Err.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T-stat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P-value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95% CI</w:t>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A: No lagged controls; Dependent variable = flow_w</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const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0.000008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-324.59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[-0.0026, -0.0026]</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3.3777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[0.0010, 0.0038]</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82,531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Entities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Time periods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71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B: With lagged controls; Dependent variable = flow_w</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const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0.1153***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0.0095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12.173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[0.0967, 0.1339]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0.0057***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6.4092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[0.0040, 0.0075]</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-0.0319***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-12.603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[-0.0368, -0.0269]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0.1369***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0.0213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6.4177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[0.0951, 0.1787]</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0.0132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-6.9921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[-0.1182, -0.0665]</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81,262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0.0371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Entities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Time periods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70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bl>
    <w:p>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 **, and * denote p &lt; 0.01, p &lt; 0.05, and p &lt; 0.10.</w:t>
      </w:r>
    </w:p>
    <w:p>
      <w:pPr>
        <w:spacing w:after="120" w:line="276" w:lineRule="auto"/>
      </w:pPr>
      <w:r>
        <w:rPr>
          <w:rFonts w:ascii="Times New Roman" w:hAnsi="Times New Roman" w:eastAsia="Times New Roman"/>
          <w:sz w:val="24"/>
        </w:rPr>
        <w:t xml:space="preserve">The coefficient on </w:t>
      </w:r>
      <w:r>
        <w:rPr>
          <w:rFonts w:ascii="Times New Roman" w:hAnsi="Times New Roman" w:eastAsia="Times New Roman"/>
          <w:b/>
          <w:sz w:val="24"/>
        </w:rPr>
        <w:t>AI_post</w:t>
      </w:r>
      <w:r>
        <w:rPr>
          <w:rFonts w:ascii="Times New Roman" w:hAnsi="Times New Roman" w:eastAsia="Times New Roman"/>
          <w:sz w:val="24"/>
        </w:rPr>
        <w:t xml:space="preserve"> is positive and statistically significant in both specifications. In the no-control model, the coefficient is 0.0024 with a </w:t>
      </w:r>
      <w:r>
        <w:rPr>
          <w:rFonts w:ascii="Times New Roman" w:hAnsi="Times New Roman" w:eastAsia="Times New Roman"/>
          <w:b/>
          <w:sz w:val="24"/>
        </w:rPr>
        <w:t>P-value</w:t>
      </w:r>
      <w:r>
        <w:rPr>
          <w:rFonts w:ascii="Times New Roman" w:hAnsi="Times New Roman" w:eastAsia="Times New Roman"/>
          <w:sz w:val="24"/>
        </w:rPr>
        <w:t xml:space="preserve"> of 0.0007. After adding lagged assets, lagged returns, and lagged flows, the coefficient rises to 0.0057 with a </w:t>
      </w:r>
      <w:r>
        <w:rPr>
          <w:rFonts w:ascii="Times New Roman" w:hAnsi="Times New Roman" w:eastAsia="Times New Roman"/>
          <w:b/>
          <w:sz w:val="24"/>
        </w:rPr>
        <w:t>P-value</w:t>
      </w:r>
      <w:r>
        <w:rPr>
          <w:rFonts w:ascii="Times New Roman" w:hAnsi="Times New Roman" w:eastAsia="Times New Roman"/>
          <w:sz w:val="24"/>
        </w:rPr>
        <w:t xml:space="preserve"> below 0.0001. Economically, the controlled estimate implies that a one-standard-deviation increase in pre-shock AI exposure is associated with approximately 0.57 percentage points higher monthly fund inflows after the ChatGPT release.</w:t>
      </w:r>
    </w:p>
    <w:p>
      <w:pPr>
        <w:spacing w:after="120" w:line="276" w:lineRule="auto"/>
      </w:pPr>
      <w:r>
        <w:rPr>
          <w:rFonts w:ascii="Times New Roman" w:hAnsi="Times New Roman" w:eastAsia="Times New Roman"/>
          <w:sz w:val="24"/>
        </w:rPr>
        <w:t>The magnitude is economically meaningful because monthly mutual fund flows are generally clustered close to zero. The result is consistent with investors reallocating capital toward funds with stronger exposure to AI-related firms after ChatGPT increased public attention to generative AI. This evidence supports H1 and is consistent with an investor attention mechanism in which technological optimism translates into thematic capital allocation.</w:t>
      </w:r>
    </w:p>
    <w:p>
      <w:pPr>
        <w:spacing w:before="160" w:after="120"/>
      </w:pPr>
      <w:r>
        <w:rPr>
          <w:rFonts w:ascii="Times New Roman" w:hAnsi="Times New Roman" w:eastAsia="Times New Roman"/>
          <w:b/>
          <w:sz w:val="28"/>
        </w:rPr>
        <w:t>4.3 Event Study Analysis</w:t>
      </w:r>
    </w:p>
    <w:p>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pPr>
        <w:spacing w:before="160" w:after="80"/>
        <w:jc w:val="center"/>
      </w:pPr>
      <w:r>
        <w:rPr>
          <w:rFonts w:ascii="Times New Roman" w:hAnsi="Times New Roman" w:eastAsia="Times New Roman"/>
          <w:b/>
          <w:sz w:val="22"/>
        </w:rPr>
        <w:t>Figure 2. Event Study Estimates</w:t>
      </w:r>
    </w:p>
    <w:p>
      <w:pPr>
        <w:jc w:val="center"/>
      </w:pPr>
      <w:r>
        <w:drawing>
          <wp:inline xmlns:a="http://schemas.openxmlformats.org/drawingml/2006/main" xmlns:pic="http://schemas.openxmlformats.org/drawingml/2006/picture">
            <wp:extent cx="5303520" cy="3315458"/>
            <wp:docPr id="3" name="Picture 3"/>
            <wp:cNvGraphicFramePr>
              <a:graphicFrameLocks noChangeAspect="1"/>
            </wp:cNvGraphicFramePr>
            <a:graphic>
              <a:graphicData uri="http://schemas.openxmlformats.org/drawingml/2006/picture">
                <pic:pic>
                  <pic:nvPicPr>
                    <pic:cNvPr id="0" name="H1_H2_cell71_out0.png"/>
                    <pic:cNvPicPr/>
                  </pic:nvPicPr>
                  <pic:blipFill>
                    <a:blip r:embed="rId8"/>
                    <a:stretch>
                      <a:fillRect/>
                    </a:stretch>
                  </pic:blipFill>
                  <pic:spPr>
                    <a:xfrm>
                      <a:off x="0" y="0"/>
                      <a:ext cx="5303520" cy="3315458"/>
                    </a:xfrm>
                    <a:prstGeom prst="rect"/>
                  </pic:spPr>
                </pic:pic>
              </a:graphicData>
            </a:graphic>
          </wp:inline>
        </w:drawing>
      </w:r>
    </w:p>
    <w:p>
      <w:pPr>
        <w:spacing w:before="40" w:after="160"/>
      </w:pPr>
      <w:r>
        <w:rPr>
          <w:rFonts w:ascii="Times New Roman" w:hAnsi="Times New Roman" w:eastAsia="Times New Roman"/>
          <w:i/>
          <w:sz w:val="19"/>
        </w:rPr>
        <w:t>Source: saved figure output from H1+H2.ipynb. The event window runs from month -12 to month +24, with month -1 omitted.</w:t>
      </w:r>
    </w:p>
    <w:p>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pPr>
        <w:spacing w:before="160" w:after="120"/>
      </w:pPr>
      <w:r>
        <w:rPr>
          <w:rFonts w:ascii="Times New Roman" w:hAnsi="Times New Roman" w:eastAsia="Times New Roman"/>
          <w:b/>
          <w:sz w:val="28"/>
        </w:rPr>
        <w:t>4.4 Heterogeneity Analysis</w:t>
      </w:r>
    </w:p>
    <w:p>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pPr>
        <w:spacing w:before="160" w:after="80"/>
        <w:jc w:val="center"/>
      </w:pPr>
      <w:r>
        <w:rPr>
          <w:rFonts w:ascii="Times New Roman" w:hAnsi="Times New Roman" w:eastAsia="Times New Roman"/>
          <w:b/>
          <w:sz w:val="22"/>
        </w:rPr>
        <w:t>Table 3. Heterogeneity by Prior Performance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Parameter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Coefficient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Std. Err.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T-stat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P-value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95% CI</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0.0013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1.6914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0.0908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[-0.0004, 0.0049]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post_good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0.0053*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1.9338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0.0531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[-0.0001, 0.0108]</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AI_post_good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0.0064**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2.2823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0.0225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[0.0009, 0.0119]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-12.599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[-0.0373, -0.0273]</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0.1373***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0.0214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6.4096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[0.0953, 0.1793]</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-0.0937***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0.0133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-7.0668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[-0.1196, -0.0677]</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80,492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Entities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1,231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Time periods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70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bl>
    <w:p>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pPr>
        <w:spacing w:before="160" w:after="120"/>
      </w:pPr>
      <w:r>
        <w:rPr>
          <w:rFonts w:ascii="Times New Roman" w:hAnsi="Times New Roman" w:eastAsia="Times New Roman"/>
          <w:b/>
          <w:sz w:val="28"/>
        </w:rPr>
        <w:t>4.5 Portfolio Allocation and Strategic Adjustment</w:t>
      </w:r>
    </w:p>
    <w:p>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pPr>
        <w:spacing w:before="160" w:after="80"/>
        <w:jc w:val="center"/>
      </w:pPr>
      <w:r>
        <w:rPr>
          <w:rFonts w:ascii="Times New Roman" w:hAnsi="Times New Roman" w:eastAsia="Times New Roman"/>
          <w:b/>
          <w:sz w:val="22"/>
        </w:rPr>
        <w:t>Table 4. Portfolio Adjustment Results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Parameter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Coefficient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Std. Err.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T-stat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P-value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95% CI</w:t>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A: Dependent variable = new_ai_positions</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-0.1146***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0.0174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-6.6000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[-0.1486, -0.0806]</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0.0208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0.0975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0.9223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[-0.0387, 0.0427]</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0.1674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0.2417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0.6924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0.4887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[-0.3064, 0.6411]</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0.0096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0.1066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0.0899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0.9284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[-0.1994, 0.2185]</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28,016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0.0015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Entities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Time periods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24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B: Dependent variable = AIShare</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3.8220***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0.2912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13.125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[3.2512, 4.3928]</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0.9569***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0.2893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3.3074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[0.3898, 1.5240]</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-1.6534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2.0153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-0.8204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0.4120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[-5.6034, 2.2966]</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-0.0207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0.6120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-0.0338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0.9730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[-1.2203, 1.1789]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28,016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0.0413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Entities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Time periods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24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bl>
    <w:p>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pPr>
        <w:spacing w:after="120" w:line="276" w:lineRule="auto"/>
      </w:pPr>
      <w:r>
        <w:rPr>
          <w:rFonts w:ascii="Times New Roman" w:hAnsi="Times New Roman" w:eastAsia="Times New Roman"/>
          <w:sz w:val="24"/>
        </w:rPr>
        <w:t xml:space="preserve">The two portfolio measures reveal different margins of adjustment. In Panel A, the coefficient on </w:t>
      </w:r>
      <w:r>
        <w:rPr>
          <w:rFonts w:ascii="Times New Roman" w:hAnsi="Times New Roman" w:eastAsia="Times New Roman"/>
          <w:b/>
          <w:sz w:val="24"/>
        </w:rPr>
        <w:t>AI_post</w:t>
      </w:r>
      <w:r>
        <w:rPr>
          <w:rFonts w:ascii="Times New Roman" w:hAnsi="Times New Roman" w:eastAsia="Times New Roman"/>
          <w:sz w:val="24"/>
        </w:rPr>
        <w:t xml:space="preserve"> is -0.1146 with a </w:t>
      </w:r>
      <w:r>
        <w:rPr>
          <w:rFonts w:ascii="Times New Roman" w:hAnsi="Times New Roman" w:eastAsia="Times New Roman"/>
          <w:b/>
          <w:sz w:val="24"/>
        </w:rPr>
        <w:t>P-value</w:t>
      </w:r>
      <w:r>
        <w:rPr>
          <w:rFonts w:ascii="Times New Roman" w:hAnsi="Times New Roman" w:eastAsia="Times New Roman"/>
          <w:sz w:val="24"/>
        </w:rPr>
        <w:t xml:space="preserve"> below 0.0001, indicating that higher-exposure funds did not respond by initiating a larger number of new AI-related positions. Instead, the evidence points away from broad exploratory expansion on the extensive margin.</w:t>
      </w:r>
    </w:p>
    <w:p>
      <w:pPr>
        <w:spacing w:after="120" w:line="276" w:lineRule="auto"/>
      </w:pPr>
      <w:r>
        <w:rPr>
          <w:rFonts w:ascii="Times New Roman" w:hAnsi="Times New Roman" w:eastAsia="Times New Roman"/>
          <w:sz w:val="24"/>
        </w:rPr>
        <w:t xml:space="preserve">Panel B reports a sharply different pattern for </w:t>
      </w:r>
      <w:r>
        <w:rPr>
          <w:rFonts w:ascii="Times New Roman" w:hAnsi="Times New Roman" w:eastAsia="Times New Roman"/>
          <w:b/>
          <w:sz w:val="24"/>
        </w:rPr>
        <w:t>AIShare</w:t>
      </w:r>
      <w:r>
        <w:rPr>
          <w:rFonts w:ascii="Times New Roman" w:hAnsi="Times New Roman" w:eastAsia="Times New Roman"/>
          <w:sz w:val="24"/>
        </w:rPr>
        <w:t xml:space="preserve">. The coefficient on </w:t>
      </w:r>
      <w:r>
        <w:rPr>
          <w:rFonts w:ascii="Times New Roman" w:hAnsi="Times New Roman" w:eastAsia="Times New Roman"/>
          <w:b/>
          <w:sz w:val="24"/>
        </w:rPr>
        <w:t>AI_post</w:t>
      </w:r>
      <w:r>
        <w:rPr>
          <w:rFonts w:ascii="Times New Roman" w:hAnsi="Times New Roman" w:eastAsia="Times New Roman"/>
          <w:sz w:val="24"/>
        </w:rPr>
        <w:t xml:space="preserve"> is 3.8220, with a T-statistic of 13.125 and a </w:t>
      </w:r>
      <w:r>
        <w:rPr>
          <w:rFonts w:ascii="Times New Roman" w:hAnsi="Times New Roman" w:eastAsia="Times New Roman"/>
          <w:b/>
          <w:sz w:val="24"/>
        </w:rPr>
        <w:t>P-value</w:t>
      </w:r>
      <w:r>
        <w:rPr>
          <w:rFonts w:ascii="Times New Roman" w:hAnsi="Times New Roman" w:eastAsia="Times New Roman"/>
          <w:sz w:val="24"/>
        </w:rPr>
        <w:t xml:space="preserve"> below 0.0001. This estimate implies that a one-standard-deviation increase in pre-shock AI exposure is associated with a 3.82 percentage point higher AI portfolio share after ChatGPT. The result is economically meaningful and suggests that AI-exposed funds adjusted primarily by increasing the intensity of allocation to AI-related firms rather than by adding many new AI tickers.</w:t>
      </w:r>
    </w:p>
    <w:p>
      <w:pPr>
        <w:spacing w:after="120" w:line="276" w:lineRule="auto"/>
      </w:pPr>
      <w:r>
        <w:rPr>
          <w:rFonts w:ascii="Times New Roman" w:hAnsi="Times New Roman" w:eastAsia="Times New Roman"/>
          <w:sz w:val="24"/>
        </w:rPr>
        <w:t>The supplied H3 notebook reports the portfolio regressions but does not include a saved treatment-control line chart of average AI portfolio share before and after ChatGPT. To avoid introducing a locally generated figure, no additional Figure 3 is reproduced here. The regression evidence nevertheless supports strategic adaptation on the intensive margin: funds already exposed to AI increased their AI-related portfolio share after a major technological shock. H3 is supported primarily through portfolio allocation intensity rather than new position initiation.</w:t>
      </w:r>
    </w:p>
    <w:p>
      <w:pPr>
        <w:spacing w:before="160" w:after="120"/>
      </w:pPr>
      <w:r>
        <w:rPr>
          <w:rFonts w:ascii="Times New Roman" w:hAnsi="Times New Roman" w:eastAsia="Times New Roman"/>
          <w:b/>
          <w:sz w:val="28"/>
        </w:rPr>
        <w:t>4.6 Robustness Tests</w:t>
      </w:r>
    </w:p>
    <w:p>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pPr>
        <w:spacing w:before="160" w:after="80"/>
        <w:jc w:val="center"/>
      </w:pPr>
      <w:r>
        <w:rPr>
          <w:rFonts w:ascii="Times New Roman" w:hAnsi="Times New Roman" w:eastAsia="Times New Roman"/>
          <w:b/>
          <w:sz w:val="22"/>
        </w:rPr>
        <w:t>Table 5. Robustness Tests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Parameter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Coefficient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Std. Err.</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T-stat</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P-value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sz w:val="16"/>
              </w:rPr>
              <w:t>95% CI</w:t>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A: Continuous exposure; Dependent variable = flow_w</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const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0.1153***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0.0095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12.173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[0.0967, 0.1339]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0.0057***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6.4092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[0.0040, 0.0075]</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-0.0319***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-12.603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[-0.0368, -0.0269]</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0.1369***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0.0213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6.4177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[0.0951, 0.1787]</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0.0132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-6.9921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[-0.1182, -0.0665]</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81,262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0.0371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B: Median-split treatment; Dependent variable = flow_w</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const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0.1127***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0.0094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12.009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[0.0943, 0.1311]</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AI_dummy_post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0.0076***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3.6305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[0.0035, 0.0118]</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-12.582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[-0.0366, -0.0268]</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0.1363***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0.0213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6.3885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[0.0945, 0.1781]</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0.0132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-6.9832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[-0.1181, -0.0664]</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81,262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8304"/>
            <w:gridSpan w:val="6"/>
            <w:shd w:fill="F2F2F2"/>
            <w:tcMar>
              <w:top w:w="80" w:type="dxa"/>
              <w:start w:w="70" w:type="dxa"/>
              <w:bottom w:w="80" w:type="dxa"/>
              <w:end w:w="70" w:type="dxa"/>
            </w:tcMar>
          </w:tcPr>
          <w:p>
            <w:pPr>
              <w:jc w:val="left"/>
            </w:pPr>
            <w:r/>
            <w:r>
              <w:rPr>
                <w:rFonts w:ascii="Times New Roman" w:hAnsi="Times New Roman" w:eastAsia="Times New Roman"/>
                <w:b/>
                <w:sz w:val="16"/>
              </w:rPr>
              <w:t>Panel C: Top-quartile treatment; Dependent variable = flow_w</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const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0.1133***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0.0094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12.011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[0.0948, 0.1318]</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AI_dummy_75_post</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0.0085***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3.7154</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[0.0040, 0.0130]</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-0.0316***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0.0025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-12.506</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[-0.0366, -0.0267]</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0.1355***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0.0213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6.3478</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[0.0936, 0.1773]</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-0.0923***</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0.0132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-6.9887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[-0.1182, -0.0664]</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Observations</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81,262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sz w:val="16"/>
              </w:rPr>
              <w:t>R-squared</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t>0.0367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sz w:val="16"/>
              </w:rPr>
            </w:r>
          </w:p>
        </w:tc>
      </w:tr>
    </w:tbl>
    <w:p>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pPr>
        <w:spacing w:after="120" w:line="276" w:lineRule="auto"/>
      </w:pPr>
      <w:r>
        <w:rPr>
          <w:rFonts w:ascii="Times New Roman" w:hAnsi="Times New Roman" w:eastAsia="Times New Roman"/>
          <w:sz w:val="24"/>
        </w:rPr>
        <w:t>Placebo timing tests, placebo coefficient distributions, and subsample analyses are not reported in the supplied notebook or results outputs. They are therefore excluded from this chapter rather than reconstructed locally. Within the set of robustness checks that are directly available from the original saved outputs, the evidence supports the conclusion that funds with greater pre-shock AI exposure experienced stronger post-ChatGPT inflows.</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F7D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316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2026-05-14T08:40:00Z</dcterms:created>
  <dc:creator>果果</dc:creator>
  <cp:lastModifiedBy>果果</cp:lastModifiedBy>
  <dcterms:modified xsi:type="dcterms:W3CDTF">2026-05-16T18:32:57Z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