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52857">
      <w:pPr>
        <w:ind w:firstLine="440" w:firstLineChars="200"/>
        <w:jc w:val="center"/>
        <w:rPr>
          <w:rFonts w:ascii="Times New Roman" w:hAnsi="Times New Roman" w:cs="Times New Roman"/>
          <w:b/>
          <w:bCs/>
        </w:rPr>
      </w:pPr>
      <w:bookmarkStart w:id="0" w:name="_GoBack"/>
      <w:bookmarkEnd w:id="0"/>
      <w:r>
        <w:rPr>
          <w:rFonts w:ascii="Times New Roman" w:hAnsi="Times New Roman" w:cs="Times New Roman"/>
          <w:b/>
          <w:bCs/>
        </w:rPr>
        <w:t>Language Negativity and Analyst Forecast Optimism</w:t>
      </w:r>
    </w:p>
    <w:p w14:paraId="3E686E15">
      <w:pPr>
        <w:ind w:firstLine="440" w:firstLineChars="200"/>
        <w:jc w:val="center"/>
        <w:rPr>
          <w:rFonts w:ascii="Times New Roman" w:hAnsi="Times New Roman" w:cs="Times New Roman"/>
          <w:b/>
          <w:bCs/>
        </w:rPr>
      </w:pPr>
    </w:p>
    <w:p w14:paraId="285BFF08">
      <w:pPr>
        <w:jc w:val="both"/>
        <w:rPr>
          <w:rFonts w:ascii="Times New Roman" w:hAnsi="Times New Roman" w:cs="Times New Roman"/>
          <w:b/>
          <w:bCs/>
        </w:rPr>
      </w:pPr>
      <w:r>
        <w:rPr>
          <w:rFonts w:hint="eastAsia" w:ascii="Times New Roman" w:hAnsi="Times New Roman" w:cs="Times New Roman"/>
          <w:b/>
          <w:bCs/>
        </w:rPr>
        <w:t>Background</w:t>
      </w:r>
    </w:p>
    <w:p w14:paraId="6D245A3E">
      <w:pPr>
        <w:ind w:firstLine="440" w:firstLineChars="200"/>
        <w:jc w:val="both"/>
        <w:rPr>
          <w:rFonts w:ascii="Times New Roman" w:hAnsi="Times New Roman" w:cs="Times New Roman"/>
        </w:rPr>
      </w:pPr>
      <w:r>
        <w:rPr>
          <w:rFonts w:ascii="Times New Roman" w:hAnsi="Times New Roman" w:cs="Times New Roman"/>
        </w:rPr>
        <w:t>An extensive research documents that language has a significant effect on the economic behavior of capital market participants and/or economic entities. For instance, previous studies find that a language’s future-time reference (FTR) structure (i.e., to what extent a language grammatically separates the future and the present) explains individual speakers’ saving rates, health behaviors, and retirement assets (Chen 2013). Following Chen (2013), subsequent studies document a significant association between FTR and earnings management (Kim et al., 2017), corporate future orientation (Liang et al., 2018), management earnings forecasts (Guan et al., 2022), and tax avoidance (Na and Yan 2022). Another strand of literature suggests that emotion can have an influential role in affecting economic decisions and outcomes in financial markets (e.g., Hirshleifer and Shumway 2003; Goetzmann et al., 2015; Cortés et al., 2016; Momtaz 2020; Chen et al., 2022; Wang et al., 2022).</w:t>
      </w:r>
    </w:p>
    <w:p w14:paraId="235BDF13">
      <w:pPr>
        <w:ind w:firstLine="440" w:firstLineChars="200"/>
        <w:jc w:val="both"/>
        <w:rPr>
          <w:rFonts w:ascii="Times New Roman" w:hAnsi="Times New Roman" w:cs="Times New Roman"/>
        </w:rPr>
      </w:pPr>
      <w:r>
        <w:rPr>
          <w:rFonts w:ascii="Times New Roman" w:hAnsi="Times New Roman" w:cs="Times New Roman"/>
        </w:rPr>
        <w:t>Despite the importance of languages and emotion in explaining corporate behaviors and outcomes as documented by prior studies, to my knowledge, no study examines whether and how languages would have an effect on capital market participants’ emotion and ultimately influence their behaviors.</w:t>
      </w:r>
    </w:p>
    <w:p w14:paraId="2ADAA5EB">
      <w:pPr>
        <w:jc w:val="both"/>
        <w:rPr>
          <w:rFonts w:ascii="Times New Roman" w:hAnsi="Times New Roman" w:cs="Times New Roman"/>
          <w:b/>
          <w:bCs/>
        </w:rPr>
      </w:pPr>
    </w:p>
    <w:p w14:paraId="7F43919B">
      <w:pPr>
        <w:jc w:val="both"/>
        <w:rPr>
          <w:rFonts w:ascii="Times New Roman" w:hAnsi="Times New Roman" w:cs="Times New Roman"/>
          <w:b/>
          <w:bCs/>
        </w:rPr>
      </w:pPr>
      <w:r>
        <w:rPr>
          <w:rFonts w:hint="eastAsia" w:ascii="Times New Roman" w:hAnsi="Times New Roman" w:cs="Times New Roman"/>
          <w:b/>
          <w:bCs/>
        </w:rPr>
        <w:t>Research Question</w:t>
      </w:r>
    </w:p>
    <w:p w14:paraId="3D95ED05">
      <w:pPr>
        <w:ind w:firstLine="440" w:firstLineChars="200"/>
        <w:jc w:val="both"/>
        <w:rPr>
          <w:rFonts w:ascii="Times New Roman" w:hAnsi="Times New Roman" w:cs="Times New Roman"/>
        </w:rPr>
      </w:pPr>
      <w:r>
        <w:rPr>
          <w:rFonts w:ascii="Times New Roman" w:hAnsi="Times New Roman" w:cs="Times New Roman"/>
        </w:rPr>
        <w:t>RQ1: Is analysts’ earnings forecast optimism negatively associated with the negativity level of analyst mother tongue language?</w:t>
      </w:r>
    </w:p>
    <w:p w14:paraId="50CA70B8">
      <w:pPr>
        <w:ind w:firstLine="440" w:firstLineChars="200"/>
        <w:jc w:val="both"/>
        <w:rPr>
          <w:rFonts w:ascii="Times New Roman" w:hAnsi="Times New Roman" w:cs="Times New Roman"/>
        </w:rPr>
      </w:pPr>
      <w:r>
        <w:rPr>
          <w:rFonts w:ascii="Times New Roman" w:hAnsi="Times New Roman" w:cs="Times New Roman"/>
        </w:rPr>
        <w:t>RQ2: I</w:t>
      </w:r>
      <w:r>
        <w:rPr>
          <w:rFonts w:hint="eastAsia" w:ascii="Times New Roman" w:hAnsi="Times New Roman" w:cs="Times New Roman"/>
        </w:rPr>
        <w:t>s</w:t>
      </w:r>
      <w:r>
        <w:rPr>
          <w:rFonts w:ascii="Times New Roman" w:hAnsi="Times New Roman" w:cs="Times New Roman"/>
        </w:rPr>
        <w:t xml:space="preserve"> the impact of language negativity on analysts’ earnings forecast optimism more pronounced when the forecast difficulty of firms is high?</w:t>
      </w:r>
    </w:p>
    <w:p w14:paraId="461E365F">
      <w:pPr>
        <w:jc w:val="both"/>
        <w:rPr>
          <w:rFonts w:ascii="Times New Roman" w:hAnsi="Times New Roman" w:cs="Times New Roman"/>
          <w:b/>
          <w:bCs/>
        </w:rPr>
      </w:pPr>
    </w:p>
    <w:p w14:paraId="156DFD08">
      <w:pPr>
        <w:jc w:val="both"/>
        <w:rPr>
          <w:rFonts w:ascii="Times New Roman" w:hAnsi="Times New Roman" w:cs="Times New Roman"/>
          <w:b/>
          <w:bCs/>
        </w:rPr>
      </w:pPr>
      <w:r>
        <w:rPr>
          <w:rFonts w:hint="eastAsia" w:ascii="Times New Roman" w:hAnsi="Times New Roman" w:cs="Times New Roman"/>
          <w:b/>
          <w:bCs/>
        </w:rPr>
        <w:t>Literature Review and Potential Contribution</w:t>
      </w:r>
    </w:p>
    <w:p w14:paraId="22CF9427">
      <w:pPr>
        <w:ind w:firstLine="440" w:firstLineChars="200"/>
        <w:jc w:val="both"/>
        <w:rPr>
          <w:rFonts w:ascii="Times New Roman" w:hAnsi="Times New Roman" w:cs="Times New Roman"/>
        </w:rPr>
      </w:pPr>
      <w:r>
        <w:rPr>
          <w:rFonts w:ascii="Times New Roman" w:hAnsi="Times New Roman" w:cs="Times New Roman"/>
        </w:rPr>
        <w:t>In examining the determinants of cross-sectional differences in analysts’ forecast optimism, previous studies find that analysts’ forecast optimistic bias is associated with analysts’ incentive to obtain access to private information, the predictability of earnings, international diversification, the profitability of firms, firm size, analyst following and analyst affiliation and trading incentive (e.g., Das et al., 1998; Lim 2001; Brown 2001a; Duru and Reeb 2002; Cowen et al., 2006;  Mola and Guidolin 2009). Prior studies also document significant heterogeneity in analysts’ earnings forecast properties across countries suggesting that cultural factors may play a role in explaining level of analysts’ forecast optimism across countries (e.g., Barniv et al., 2005; Bae et al., 2008; Dhaliwal et al., 2012; Bilinski et al., 2013; Cao et al., 2022b; Pursiainen 2022; Tsang et al., 2022).</w:t>
      </w:r>
    </w:p>
    <w:p w14:paraId="73FD0AF0">
      <w:pPr>
        <w:ind w:firstLine="440" w:firstLineChars="200"/>
        <w:jc w:val="both"/>
        <w:rPr>
          <w:rFonts w:ascii="Times New Roman" w:hAnsi="Times New Roman" w:cs="Times New Roman"/>
        </w:rPr>
      </w:pPr>
      <w:r>
        <w:rPr>
          <w:rFonts w:ascii="Times New Roman" w:hAnsi="Times New Roman" w:cs="Times New Roman"/>
          <w:color w:val="FF0000"/>
        </w:rPr>
        <w:t>This paper contributes to literature in a few major ways.</w:t>
      </w:r>
      <w:r>
        <w:rPr>
          <w:color w:val="FF0000"/>
        </w:rPr>
        <w:t xml:space="preserve"> </w:t>
      </w:r>
      <w:r>
        <w:rPr>
          <w:rFonts w:ascii="Times New Roman" w:hAnsi="Times New Roman" w:cs="Times New Roman"/>
        </w:rPr>
        <w:t>First, to my knowledge the paper is among the first in the accounting and finance literature which quantifies language negativity across a large number of languages worldwide and subsequently apply such metric to examine the effect of culturally inherited emotion on analyst forecast optimism. Although a well-established literature examines the role of language or culture in affecting a wide range of economic activities, ([1]) no study has examined whether and how language would have an effect on capital market participants’ emotion which in turn affect their decision-makings. This is surprising as evidence suggesting that analysts who play a valuable role in improving market efficiency (Healy and Palepu 2001) tend to have diverse cultural background (Merkley et al., 2020) which may play a significant role in their forecast properties. I fill this gap by introducing a new emotion-related cultural variable (i.e., language negativity) into the literature and examine the effect of mother tongue language negativity of financial analysts on their earnings forecasts. Unlike the temporary state emotion(i.e., weather-induced mood) that studied in the prior literature (i.e., Hirshleifer and Shumway 2003; Goetzmann et al., 2015; Cortés et al., 2016), my constructed language-induced mood, which may be inherited culturally, could potentially influence the emotional experiences of language users in their daily lives, and may even be transmitted to future generations through intergenerational communication (i.e., Chen, 2013; Lindquist et al. 2015; Liu, 2016; Cao et al., 2022b). My study shed light on how persistent and long-lasting emotions can affect agents' economic decision-making.</w:t>
      </w:r>
    </w:p>
    <w:p w14:paraId="2969B75E">
      <w:pPr>
        <w:ind w:firstLine="440" w:firstLineChars="200"/>
        <w:jc w:val="both"/>
        <w:rPr>
          <w:rFonts w:ascii="Times New Roman" w:hAnsi="Times New Roman" w:cs="Times New Roman"/>
        </w:rPr>
      </w:pPr>
      <w:r>
        <w:rPr>
          <w:rFonts w:ascii="Times New Roman" w:hAnsi="Times New Roman" w:cs="Times New Roman"/>
        </w:rPr>
        <w:t>Second, the study contributes to studies examining factors affecting analyst earnings forecast in general and forecast optimism in particular. A large number of studies find that analysts are systematically optimistic in their forecasts and identify various determinants (e.g., Francis and Philbrick 1993; Kang et al., 1994; Dugar and Nathan 1995; Rajan and Servaes 1997; Das et al., 1998; Lin and McNichols 1998; Chaney et al., 1999; Easterwood and Nutt 1999; Darrough and Russell 2002; Hong and Kubik 2003; Cowen et al., 2006; Libby et al., 2008). The paper finding adds to this literature by presenting evidence suggesting the important role which language and/or culturally inherited emotion can play in affecting analyst forecast optimism. Moreover, my study responds to the call of Ramnath et al., (2008, page 68) by exploring cultural factors with the potential to create cross-country differences in the properties of analyst forecasts and sheds understanding of the impact of culture on accounting information and capital market activities.</w:t>
      </w:r>
    </w:p>
    <w:p w14:paraId="6214B940">
      <w:pPr>
        <w:ind w:firstLine="440" w:firstLineChars="200"/>
        <w:jc w:val="both"/>
        <w:rPr>
          <w:rFonts w:ascii="Times New Roman" w:hAnsi="Times New Roman" w:cs="Times New Roman"/>
        </w:rPr>
      </w:pPr>
      <w:r>
        <w:rPr>
          <w:rFonts w:ascii="Times New Roman" w:hAnsi="Times New Roman" w:cs="Times New Roman"/>
        </w:rPr>
        <w:t>Finally, this study adds to the studies examining cross-country factors influencing analyst earnings forecast properties. While previous studies tend to focus more on the effect of formal institutions including for example, the mandatory adoption of International Financial Reporting Standards, the level of stakeholder protection, the enforcement of accounting standards, country-level media competition, legal institution and product market competition in affecting the properties of analyst forecasts (e.g., Barniv et al., 2005;  DeFond and Hung 2007; Bae et al., 2008; Haw et al., 2010; Dhaliwal et al., 2012; Haw et al., 2015; Cao et al., 2022a), this study presents evidence suggesting that informal institution (specifically, culturally inherited emotion resulted by language negativity) also affects analyst forecast properties.</w:t>
      </w:r>
    </w:p>
    <w:p w14:paraId="2135B690">
      <w:pPr>
        <w:jc w:val="both"/>
        <w:rPr>
          <w:rFonts w:ascii="Times New Roman" w:hAnsi="Times New Roman" w:cs="Times New Roman"/>
          <w:b/>
          <w:bCs/>
        </w:rPr>
      </w:pPr>
    </w:p>
    <w:p w14:paraId="278FC590">
      <w:pPr>
        <w:jc w:val="both"/>
        <w:rPr>
          <w:rFonts w:ascii="Times New Roman" w:hAnsi="Times New Roman" w:cs="Times New Roman"/>
          <w:b/>
          <w:bCs/>
        </w:rPr>
      </w:pPr>
      <w:r>
        <w:rPr>
          <w:rFonts w:hint="eastAsia" w:ascii="Times New Roman" w:hAnsi="Times New Roman" w:cs="Times New Roman"/>
          <w:b/>
          <w:bCs/>
        </w:rPr>
        <w:t>Hypothesis Development</w:t>
      </w:r>
    </w:p>
    <w:p w14:paraId="6C93702B">
      <w:pPr>
        <w:ind w:firstLine="440" w:firstLineChars="200"/>
        <w:jc w:val="both"/>
        <w:rPr>
          <w:rFonts w:ascii="Times New Roman" w:hAnsi="Times New Roman" w:cs="Times New Roman"/>
        </w:rPr>
      </w:pPr>
      <w:r>
        <w:rPr>
          <w:rFonts w:ascii="Times New Roman" w:hAnsi="Times New Roman" w:cs="Times New Roman"/>
        </w:rPr>
        <w:t>An extensive psychological literature suggests that language represents an important element in shaping human emotions (Barrett et al., 2007; Gendron et al., 2012; Lindquist and Gendron 2013; Lindquist et al., 2015).([1]) For instance, according to the Conceptual Act Theory (CAT) by Lindquist et al. (2015), emotions are not innate but are constructed by individuals through the integration of affective and conceptual processes. In this framework, language plays a crucial role in assisting humans to acquire concept knowledge, subsequently enabling humans to make sense of emotional perceptions and experiences. Moreover, Chen (2013) shows that the human language system could create attention and precision effects for its users. The study reveals that embedding time markers in language could enhance users' attention on time (linguistic-attention effect) and results in more accurate beliefs regarding the timing of future rewards (linguistic-precision effect). In light of this, I posit that when a language's commonly used words consist of more negative terms (e.g., death, violence, and disease), it draws the attention of language users to these negative events (linguistic-attention effect) and bring about vivid perception of these adverse events to language users (linguistic-precision effect). Through a series of psychological processes mentioned by Lindquist et al. (2015), the attention and vivid perception of the negative side elicited by language ultimately lead language users to a relatively downbeat emotional status. Compared to short-lived emotions like those influenced by the weather (i.e., Hirshleifer and Shumway 2003; Goetzmann et al., 2015; Cortés et al., 2016), language-induced emotions tend to have a more persistent presence in daily life and may be conveyed to future generations through intergenerational communication (i.e., Chen, 2013; Lindquist et al., 2015; Liu, 2016; Cao et al., 2022b). Hence, I label the language-induced emotion as a culturally inherited emotion.</w:t>
      </w:r>
    </w:p>
    <w:p w14:paraId="73B1DF5B">
      <w:pPr>
        <w:ind w:firstLine="440" w:firstLineChars="200"/>
        <w:jc w:val="both"/>
        <w:rPr>
          <w:rFonts w:ascii="Times New Roman" w:hAnsi="Times New Roman" w:cs="Times New Roman"/>
        </w:rPr>
      </w:pPr>
      <w:r>
        <w:rPr>
          <w:rFonts w:ascii="Times New Roman" w:hAnsi="Times New Roman" w:cs="Times New Roman"/>
        </w:rPr>
        <w:t xml:space="preserve">In addition, existing studies present evidence suggesting that the bad (good) emotion of managers can lead pessimism (optimism) corporate decisions (Hirshleifer and Shumway 2003; Goetzmann et al., 2015; Cortés et al., 2016; Momtaz 2020; Chen et al., 2022; Wang et al., 2022). This can be attributed to the mood congruency effect, which suggests that people in negative moods are more likely to notice and focus on negative information, while those in positive moods are more inclined to recognize and concentrate on positive information. As a result, when individuals are experiencing negative moods, they tend to exhibit more unfavorable evaluations across various aspects, including future prospects, life satisfaction, past experiences, and even interpersonal relationships. (e.g., Isen et al. 978; Forgas and Bower 1987). More importantly, given the well-documented empirical regularity about analysts’ forecast optimism in countries around the world (Bradshaw et al., 2019), and the robust evidence on cross-country differences in analyst forecast properties (e.g., Barniv et al., 2005; Bae et al., 2008; Dhaliwal et al., 2012; Bilinski et al., 2013; Cao et al., 2022 a &amp; b; Pursiainen 2022; Tsang et al., 2022), it follows from these two literatures that analysts’ earnings forecast optimism are likely to vary across cross-country cultural differences in general, and culturally inherited emotion associated with language in particular. </w:t>
      </w:r>
    </w:p>
    <w:p w14:paraId="3EFF7216">
      <w:pPr>
        <w:ind w:firstLine="440" w:firstLineChars="200"/>
        <w:jc w:val="both"/>
        <w:rPr>
          <w:rFonts w:ascii="Times New Roman" w:hAnsi="Times New Roman" w:cs="Times New Roman"/>
        </w:rPr>
      </w:pPr>
      <w:r>
        <w:rPr>
          <w:rFonts w:ascii="Times New Roman" w:hAnsi="Times New Roman" w:cs="Times New Roman"/>
        </w:rPr>
        <w:t xml:space="preserve">As such, in my study, I argue that the level of negativity associated with the mother tongue language of financial analysts can have a significant impact on analyst average emotion status and further affect their earnings forecast optimism. Based on the discussion above, I formulate my main hypothesis in the following:  </w:t>
      </w:r>
    </w:p>
    <w:p w14:paraId="155D774B">
      <w:pPr>
        <w:ind w:firstLine="440" w:firstLineChars="200"/>
        <w:jc w:val="both"/>
        <w:rPr>
          <w:rFonts w:ascii="Times New Roman" w:hAnsi="Times New Roman" w:cs="Times New Roman"/>
          <w:b/>
          <w:bCs/>
          <w:i/>
          <w:iCs/>
        </w:rPr>
      </w:pPr>
      <w:r>
        <w:rPr>
          <w:rFonts w:ascii="Times New Roman" w:hAnsi="Times New Roman" w:cs="Times New Roman"/>
          <w:b/>
          <w:bCs/>
          <w:i/>
          <w:iCs/>
        </w:rPr>
        <w:t>H1: Analysts’ earnings forecast optimism is negatively associated with the level of negativity of the mother tongue language of the analysts.</w:t>
      </w:r>
    </w:p>
    <w:p w14:paraId="6A8510F7">
      <w:pPr>
        <w:ind w:firstLine="440" w:firstLineChars="200"/>
        <w:jc w:val="both"/>
        <w:rPr>
          <w:rFonts w:ascii="Times New Roman" w:hAnsi="Times New Roman" w:cs="Times New Roman"/>
        </w:rPr>
      </w:pPr>
      <w:r>
        <w:rPr>
          <w:rFonts w:ascii="Times New Roman" w:hAnsi="Times New Roman" w:cs="Times New Roman"/>
        </w:rPr>
        <w:t>Next, I explore for contexts in which the language negativity effect on analysts’ forecast optimism is expected to have cross-sectional variations. Studies in psychology argue that mood tends to exhibit a greater level of influence in the judgement process of economic agents in setting characterized with a high level of ambiguity, uncertainty and incomplete information (Forgas 1995, 2008; de Vries et al., 2008). Similarly, other studies (e.g., Clore et al., 1994; Cortés et al., 2016) show a stronger effect of mood on economic decisions when such decisions require more subjective judgment and discretion from the decision-makers. Following this view, I expect language negativity to have a stronger effect in influencing analysts’ forecast optimism during financial crisis period, when analyst face limited attention, and when firms have a high level of volatile earnings or experience loss. Presumably, in these situations, making accurate analyst earnings forecasts is inherently more difficult given the greater level of ambiguity and uncertainty associated with firms’ future performance and analyst limited attention to do rigorous analytical thinking.  Following the discussion above, I propose the second hypothesis of my study in the following:</w:t>
      </w:r>
    </w:p>
    <w:p w14:paraId="22861DA7">
      <w:pPr>
        <w:ind w:firstLine="440" w:firstLineChars="200"/>
        <w:jc w:val="both"/>
        <w:rPr>
          <w:rFonts w:ascii="Times New Roman" w:hAnsi="Times New Roman" w:cs="Times New Roman"/>
          <w:b/>
          <w:bCs/>
          <w:i/>
          <w:iCs/>
        </w:rPr>
      </w:pPr>
      <w:r>
        <w:rPr>
          <w:rFonts w:ascii="Times New Roman" w:hAnsi="Times New Roman" w:cs="Times New Roman"/>
          <w:b/>
          <w:bCs/>
          <w:i/>
          <w:iCs/>
        </w:rPr>
        <w:t>H2: The effect of language negativity on analysts’ earnings forecast optimism is more pronounced when firms’ forecast difficulty is high.</w:t>
      </w:r>
    </w:p>
    <w:p w14:paraId="632C580E">
      <w:pPr>
        <w:ind w:firstLine="440" w:firstLineChars="200"/>
        <w:jc w:val="both"/>
        <w:rPr>
          <w:rFonts w:ascii="Times New Roman" w:hAnsi="Times New Roman" w:cs="Times New Roman"/>
          <w:b/>
          <w:bCs/>
          <w:i/>
          <w:iCs/>
        </w:rPr>
      </w:pPr>
    </w:p>
    <w:p w14:paraId="24715EF5">
      <w:pPr>
        <w:jc w:val="both"/>
        <w:rPr>
          <w:rFonts w:ascii="Times New Roman" w:hAnsi="Times New Roman" w:cs="Times New Roman"/>
          <w:b/>
          <w:bCs/>
        </w:rPr>
      </w:pPr>
      <w:r>
        <w:rPr>
          <w:rFonts w:ascii="Times New Roman" w:hAnsi="Times New Roman" w:cs="Times New Roman"/>
          <w:b/>
          <w:bCs/>
        </w:rPr>
        <w:t>Data and Empirical Design</w:t>
      </w:r>
    </w:p>
    <w:p w14:paraId="52C83A25">
      <w:pPr>
        <w:ind w:firstLine="440" w:firstLineChars="200"/>
        <w:jc w:val="both"/>
        <w:rPr>
          <w:rFonts w:ascii="Times New Roman" w:hAnsi="Times New Roman" w:cs="Times New Roman"/>
        </w:rPr>
      </w:pPr>
      <w:r>
        <w:rPr>
          <w:rFonts w:ascii="Times New Roman" w:hAnsi="Times New Roman" w:cs="Times New Roman"/>
        </w:rPr>
        <w:t>Following their work, I develop a method to expand language negativity measurement from 10 languages to 25 languages (covering 47 countries). I start my language negativity construction by gathering the most frequently perceived emotionally negative words across the 10 languages analyzed by Dodds et al. (2015). These seven most emotionally negative words could be categorized into three groups: death, disease, and violence. I primarily rely on language-specific dictionaries to find synonyms for each of these most emotionally negative words in each language. In an effort to capture all words describing death, disease, and violence in various languages, I also utilize Google searches to find additional relevant synonyms and slang terms. Finally, to control for the potential influence of languages with large number of vocabularies, I normalize the total number of negativity words in each language by dividing the total word counts of that language's largest dictionary. Consequently, this methodology offers a broader scope of language negativity measurement (expanding the language negativity measurement from 10 languages to 25 languages), allowing for a more comprehensive analyses across a larger number of languages in countries around the world.</w:t>
      </w:r>
    </w:p>
    <w:p w14:paraId="46E81301">
      <w:pPr>
        <w:ind w:firstLine="440" w:firstLineChars="200"/>
        <w:jc w:val="both"/>
        <w:rPr>
          <w:rFonts w:ascii="Times New Roman" w:hAnsi="Times New Roman" w:cs="Times New Roman"/>
        </w:rPr>
      </w:pPr>
      <w:r>
        <w:rPr>
          <w:rFonts w:ascii="Times New Roman" w:hAnsi="Times New Roman" w:cs="Times New Roman"/>
        </w:rPr>
        <w:t>...</w:t>
      </w:r>
    </w:p>
    <w:p w14:paraId="73F0BD8A">
      <w:pPr>
        <w:ind w:firstLine="440" w:firstLineChars="200"/>
        <w:jc w:val="both"/>
        <w:rPr>
          <w:rFonts w:ascii="Times New Roman" w:hAnsi="Times New Roman" w:cs="Times New Roman"/>
        </w:rPr>
      </w:pPr>
      <w:r>
        <w:rPr>
          <w:rFonts w:ascii="Times New Roman" w:hAnsi="Times New Roman" w:cs="Times New Roman"/>
        </w:rPr>
        <w:t>My final sample consisting of 956,105 earnings forecasts (i.e., the firm-year-analyst unit of analysis) issued by 4,302 analysts and associated with 10,431 distinct firms during the sample period of 1994 to 2021.</w:t>
      </w:r>
    </w:p>
    <w:p w14:paraId="03181924">
      <w:pPr>
        <w:ind w:firstLine="440" w:firstLineChars="200"/>
        <w:jc w:val="both"/>
        <w:rPr>
          <w:rFonts w:ascii="Times New Roman" w:hAnsi="Times New Roman" w:cs="Times New Roman"/>
          <w:b/>
          <w:bCs/>
        </w:rPr>
      </w:pPr>
      <w:r>
        <w:rPr>
          <w:rFonts w:ascii="Times New Roman" w:hAnsi="Times New Roman" w:cs="Times New Roman"/>
          <w:b/>
          <w:bCs/>
        </w:rPr>
        <w:t>Methodologies</w:t>
      </w:r>
    </w:p>
    <w:p w14:paraId="542CBBCA">
      <w:pPr>
        <w:ind w:firstLine="440" w:firstLineChars="200"/>
        <w:jc w:val="both"/>
        <w:rPr>
          <w:rFonts w:ascii="Times New Roman" w:hAnsi="Times New Roman" w:cs="Times New Roman"/>
        </w:rPr>
      </w:pPr>
      <w:r>
        <w:rPr>
          <w:rFonts w:ascii="Times New Roman" w:hAnsi="Times New Roman" w:cs="Times New Roman"/>
        </w:rPr>
        <w:t>The regression model used in my baseline analysis to examine the relationship between X and Y is as follows:</w:t>
      </w:r>
    </w:p>
    <w:p w14:paraId="09394532">
      <w:pPr>
        <w:ind w:firstLine="440" w:firstLineChars="200"/>
        <w:jc w:val="both"/>
        <w:rPr>
          <w:rFonts w:ascii="Times New Roman" w:hAnsi="Times New Roman" w:cs="Times New Roman"/>
        </w:rPr>
      </w:pPr>
      <w:r>
        <w:rPr>
          <w:rFonts w:ascii="Times New Roman" w:hAnsi="Times New Roman" w:cs="Times New Roman"/>
        </w:rPr>
        <w:drawing>
          <wp:inline distT="0" distB="0" distL="0" distR="0">
            <wp:extent cx="5274310" cy="11074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1107440"/>
                    </a:xfrm>
                    <a:prstGeom prst="rect">
                      <a:avLst/>
                    </a:prstGeom>
                    <a:noFill/>
                    <a:ln>
                      <a:noFill/>
                    </a:ln>
                  </pic:spPr>
                </pic:pic>
              </a:graphicData>
            </a:graphic>
          </wp:inline>
        </w:drawing>
      </w:r>
    </w:p>
    <w:p w14:paraId="159B275F">
      <w:pPr>
        <w:ind w:firstLine="440" w:firstLineChars="200"/>
        <w:jc w:val="both"/>
        <w:rPr>
          <w:rFonts w:ascii="Times New Roman" w:hAnsi="Times New Roman" w:cs="Times New Roman"/>
        </w:rPr>
      </w:pPr>
      <w:r>
        <w:rPr>
          <w:rFonts w:ascii="Times New Roman" w:hAnsi="Times New Roman" w:cs="Times New Roman"/>
        </w:rPr>
        <w:t xml:space="preserve">where i, j, t and c index analyst, firm, and time and analyst ancestry country, respectively. is a vector of firm and analyst level control variables for firm/analyst in the most recent year. </w:t>
      </w:r>
    </w:p>
    <w:p w14:paraId="7C421331">
      <w:pPr>
        <w:ind w:firstLine="440" w:firstLineChars="200"/>
        <w:jc w:val="both"/>
        <w:rPr>
          <w:rFonts w:ascii="Times New Roman" w:hAnsi="Times New Roman" w:cs="Times New Roman"/>
        </w:rPr>
      </w:pPr>
      <w:r>
        <w:rPr>
          <w:rFonts w:ascii="Times New Roman" w:hAnsi="Times New Roman" w:cs="Times New Roman"/>
        </w:rPr>
        <w:t xml:space="preserve">The dependent variable analyst forecast optimism, </w:t>
      </w:r>
      <w:r>
        <w:rPr>
          <w:rFonts w:ascii="Times New Roman" w:hAnsi="Times New Roman" w:cs="Times New Roman"/>
          <w:i/>
          <w:iCs/>
        </w:rPr>
        <w:t xml:space="preserve">Forecast_Optimism, </w:t>
      </w:r>
      <w:r>
        <w:rPr>
          <w:rFonts w:ascii="Times New Roman" w:hAnsi="Times New Roman" w:cs="Times New Roman"/>
        </w:rPr>
        <w:t xml:space="preserve">equals to the difference between analyst i’ s forecasted earnings per share (EPS) for firm j for year t and the actual EPS of firm j for year t scaled by firm j’ s stock price on the day prior to the earnings forecast (×100) (e.g. Jackson 2005; Dong et al., 2021).  </w:t>
      </w:r>
    </w:p>
    <w:p w14:paraId="0DE73B09">
      <w:pPr>
        <w:ind w:firstLine="440" w:firstLineChars="200"/>
        <w:jc w:val="both"/>
        <w:rPr>
          <w:rFonts w:ascii="Times New Roman" w:hAnsi="Times New Roman" w:cs="Times New Roman"/>
        </w:rPr>
      </w:pPr>
      <w:r>
        <w:rPr>
          <w:rFonts w:ascii="Times New Roman" w:hAnsi="Times New Roman" w:cs="Times New Roman"/>
        </w:rPr>
        <w:t>The variable of interest language negativity (</w:t>
      </w:r>
      <w:r>
        <w:rPr>
          <w:rFonts w:ascii="Times New Roman" w:hAnsi="Times New Roman" w:cs="Times New Roman"/>
          <w:i/>
          <w:iCs/>
        </w:rPr>
        <w:t>Negativity</w:t>
      </w:r>
      <w:r>
        <w:rPr>
          <w:rFonts w:ascii="Times New Roman" w:hAnsi="Times New Roman" w:cs="Times New Roman"/>
        </w:rPr>
        <w:t xml:space="preserve">) defined as the total number of the most negative words collected by my method, adjusted by the total word count of the largest dictionary for that language. </w:t>
      </w:r>
    </w:p>
    <w:p w14:paraId="7AD08209">
      <w:pPr>
        <w:ind w:firstLine="440" w:firstLineChars="200"/>
        <w:jc w:val="both"/>
        <w:rPr>
          <w:rFonts w:ascii="Times New Roman" w:hAnsi="Times New Roman" w:cs="Times New Roman"/>
        </w:rPr>
      </w:pPr>
      <w:r>
        <w:rPr>
          <w:rFonts w:ascii="Times New Roman" w:hAnsi="Times New Roman" w:cs="Times New Roman"/>
        </w:rPr>
        <w:t xml:space="preserve">I expect a significant negative coefficient on </w:t>
      </w:r>
      <w:r>
        <w:rPr>
          <w:rFonts w:ascii="Times New Roman" w:hAnsi="Times New Roman" w:cs="Times New Roman"/>
          <w:i/>
          <w:iCs/>
        </w:rPr>
        <w:t xml:space="preserve">Negativity, </w:t>
      </w:r>
      <w:r>
        <w:rPr>
          <w:rFonts w:ascii="Times New Roman" w:hAnsi="Times New Roman" w:cs="Times New Roman"/>
        </w:rPr>
        <w:t>suggesting that analyst from country characterized with a high level of language negativity tend to issue less optimism EPS forecast.</w:t>
      </w:r>
    </w:p>
    <w:p w14:paraId="551494EC">
      <w:pPr>
        <w:ind w:firstLine="440" w:firstLineChars="200"/>
        <w:jc w:val="both"/>
        <w:rPr>
          <w:rFonts w:ascii="Times New Roman" w:hAnsi="Times New Roman" w:cs="Times New Roman"/>
        </w:rPr>
      </w:pPr>
      <w:r>
        <w:rPr>
          <w:rFonts w:ascii="Times New Roman" w:hAnsi="Times New Roman" w:cs="Times New Roman"/>
        </w:rPr>
        <w:t>Following prior literature, I first control various firm-level characteristics including firm size (</w:t>
      </w:r>
      <w:r>
        <w:rPr>
          <w:rFonts w:ascii="Times New Roman" w:hAnsi="Times New Roman" w:cs="Times New Roman"/>
          <w:i/>
          <w:iCs/>
        </w:rPr>
        <w:t>Size</w:t>
      </w:r>
      <w:r>
        <w:rPr>
          <w:rFonts w:ascii="Times New Roman" w:hAnsi="Times New Roman" w:cs="Times New Roman"/>
        </w:rPr>
        <w:t>) (Lys and Soo, 1995; Lim, 2001), financial leverage ratio (</w:t>
      </w:r>
      <w:r>
        <w:rPr>
          <w:rFonts w:ascii="Times New Roman" w:hAnsi="Times New Roman" w:cs="Times New Roman"/>
          <w:i/>
          <w:iCs/>
        </w:rPr>
        <w:t>Leverage</w:t>
      </w:r>
      <w:r>
        <w:rPr>
          <w:rFonts w:ascii="Times New Roman" w:hAnsi="Times New Roman" w:cs="Times New Roman"/>
        </w:rPr>
        <w:t>), book to market Ratio (</w:t>
      </w:r>
      <w:r>
        <w:rPr>
          <w:rFonts w:ascii="Times New Roman" w:hAnsi="Times New Roman" w:cs="Times New Roman"/>
          <w:i/>
          <w:iCs/>
        </w:rPr>
        <w:t>BM</w:t>
      </w:r>
      <w:r>
        <w:rPr>
          <w:rFonts w:ascii="Times New Roman" w:hAnsi="Times New Roman" w:cs="Times New Roman"/>
        </w:rPr>
        <w:t>) (Atiase, 1985), whether firm experienced loss before analyst forecast (</w:t>
      </w:r>
      <w:r>
        <w:rPr>
          <w:rFonts w:ascii="Times New Roman" w:hAnsi="Times New Roman" w:cs="Times New Roman"/>
          <w:i/>
          <w:iCs/>
        </w:rPr>
        <w:t>LOSS</w:t>
      </w:r>
      <w:r>
        <w:rPr>
          <w:rFonts w:ascii="Times New Roman" w:hAnsi="Times New Roman" w:cs="Times New Roman"/>
        </w:rPr>
        <w:t>), R&amp;D intensity (</w:t>
      </w:r>
      <w:r>
        <w:rPr>
          <w:rFonts w:ascii="Times New Roman" w:hAnsi="Times New Roman" w:cs="Times New Roman"/>
          <w:i/>
          <w:iCs/>
        </w:rPr>
        <w:t>RDIntensity</w:t>
      </w:r>
      <w:r>
        <w:rPr>
          <w:rFonts w:ascii="Times New Roman" w:hAnsi="Times New Roman" w:cs="Times New Roman"/>
        </w:rPr>
        <w:t>), return on assets (</w:t>
      </w:r>
      <w:r>
        <w:rPr>
          <w:rFonts w:ascii="Times New Roman" w:hAnsi="Times New Roman" w:cs="Times New Roman"/>
          <w:i/>
          <w:iCs/>
        </w:rPr>
        <w:t>ROA</w:t>
      </w:r>
      <w:r>
        <w:rPr>
          <w:rFonts w:ascii="Times New Roman" w:hAnsi="Times New Roman" w:cs="Times New Roman"/>
        </w:rPr>
        <w:t>) (Dhaliwal et al., 2011), and firm’s most recent five-year earnings volatility (</w:t>
      </w:r>
      <w:r>
        <w:rPr>
          <w:rFonts w:ascii="Times New Roman" w:hAnsi="Times New Roman" w:cs="Times New Roman"/>
          <w:i/>
          <w:iCs/>
        </w:rPr>
        <w:t>EarnVol</w:t>
      </w:r>
      <w:r>
        <w:rPr>
          <w:rFonts w:ascii="Times New Roman" w:hAnsi="Times New Roman" w:cs="Times New Roman"/>
        </w:rPr>
        <w:t>). I use firm size (</w:t>
      </w:r>
      <w:r>
        <w:rPr>
          <w:rFonts w:ascii="Times New Roman" w:hAnsi="Times New Roman" w:cs="Times New Roman"/>
          <w:i/>
          <w:iCs/>
        </w:rPr>
        <w:t>SIZE</w:t>
      </w:r>
      <w:r>
        <w:rPr>
          <w:rFonts w:ascii="Times New Roman" w:hAnsi="Times New Roman" w:cs="Times New Roman"/>
        </w:rPr>
        <w:t>) as a proxy for various factors that may influence analysts' incentives to cover a firm and the characteristics of their forecasts, such as overall information availability and investors' attention (Gu and Wu 2003). Studies also shows that analysts have greater motivation to issue optimism forecasts for smaller firms as a means of promoting communication with management and acquiring firm private information (Lim, 2001). High-growth firms may offer more information to aid analysts in making informed earnings forecasts regarding their growth potential (García-Meca and Sánchez-Ballesta, 2011). Hence, I use book-to-market ratio (</w:t>
      </w:r>
      <w:r>
        <w:rPr>
          <w:rFonts w:ascii="Times New Roman" w:hAnsi="Times New Roman" w:cs="Times New Roman"/>
          <w:i/>
          <w:iCs/>
        </w:rPr>
        <w:t>BM</w:t>
      </w:r>
      <w:r>
        <w:rPr>
          <w:rFonts w:ascii="Times New Roman" w:hAnsi="Times New Roman" w:cs="Times New Roman"/>
        </w:rPr>
        <w:t>) as a proxy for growth opportunities to account for this effect. Research by Gu and Wang (2005) suggests that analysts' forecast biases are more significant for companies with innovative technologies. In line with this, I add R&amp;D intensity (</w:t>
      </w:r>
      <w:r>
        <w:rPr>
          <w:rFonts w:ascii="Times New Roman" w:hAnsi="Times New Roman" w:cs="Times New Roman"/>
          <w:i/>
          <w:iCs/>
        </w:rPr>
        <w:t>RDIntensity</w:t>
      </w:r>
      <w:r>
        <w:rPr>
          <w:rFonts w:ascii="Times New Roman" w:hAnsi="Times New Roman" w:cs="Times New Roman"/>
        </w:rPr>
        <w:t>) as control variables. Brown (2001a) suggests that estimating losses becomes more difficult due to managerial incentives such as big baths, which can decrease the accuracy of analysts' forecasts. To control for this effect, I include a binary indicator variable (</w:t>
      </w:r>
      <w:r>
        <w:rPr>
          <w:rFonts w:ascii="Times New Roman" w:hAnsi="Times New Roman" w:cs="Times New Roman"/>
          <w:i/>
          <w:iCs/>
        </w:rPr>
        <w:t>LOSS</w:t>
      </w:r>
      <w:r>
        <w:rPr>
          <w:rFonts w:ascii="Times New Roman" w:hAnsi="Times New Roman" w:cs="Times New Roman"/>
        </w:rPr>
        <w:t>).</w:t>
      </w:r>
    </w:p>
    <w:p w14:paraId="109B8CCA">
      <w:pPr>
        <w:ind w:firstLine="440" w:firstLineChars="200"/>
        <w:jc w:val="both"/>
        <w:rPr>
          <w:rFonts w:ascii="Times New Roman" w:hAnsi="Times New Roman" w:cs="Times New Roman"/>
        </w:rPr>
      </w:pPr>
      <w:r>
        <w:rPr>
          <w:rFonts w:ascii="Times New Roman" w:hAnsi="Times New Roman" w:cs="Times New Roman"/>
        </w:rPr>
        <w:t>I also include a battery of analyst-level characteristics as control variables, which include whether the forecasted firm headquartered country equals to analyst's ancestral country (</w:t>
      </w:r>
      <w:r>
        <w:rPr>
          <w:rFonts w:ascii="Times New Roman" w:hAnsi="Times New Roman" w:cs="Times New Roman"/>
          <w:i/>
          <w:iCs/>
        </w:rPr>
        <w:t>Proximity</w:t>
      </w:r>
      <w:r>
        <w:rPr>
          <w:rFonts w:ascii="Times New Roman" w:hAnsi="Times New Roman" w:cs="Times New Roman"/>
        </w:rPr>
        <w:t>) (Du et al., 2017), the distance of the U.S. capital city to the analyst's ancestral country capital city (</w:t>
      </w:r>
      <w:r>
        <w:rPr>
          <w:rFonts w:ascii="Times New Roman" w:hAnsi="Times New Roman" w:cs="Times New Roman"/>
          <w:i/>
          <w:iCs/>
        </w:rPr>
        <w:t>Distance</w:t>
      </w:r>
      <w:r>
        <w:rPr>
          <w:rFonts w:ascii="Times New Roman" w:hAnsi="Times New Roman" w:cs="Times New Roman"/>
        </w:rPr>
        <w:t>), analyst’s forecasting ability proxied by previous year average forecast accuracy (</w:t>
      </w:r>
      <w:r>
        <w:rPr>
          <w:rFonts w:ascii="Times New Roman" w:hAnsi="Times New Roman" w:cs="Times New Roman"/>
          <w:i/>
          <w:iCs/>
        </w:rPr>
        <w:t>LagAcc</w:t>
      </w:r>
      <w:r>
        <w:rPr>
          <w:rFonts w:ascii="Times New Roman" w:hAnsi="Times New Roman" w:cs="Times New Roman"/>
        </w:rPr>
        <w:t>), forecast horizon (</w:t>
      </w:r>
      <w:r>
        <w:rPr>
          <w:rFonts w:ascii="Times New Roman" w:hAnsi="Times New Roman" w:cs="Times New Roman"/>
          <w:i/>
          <w:iCs/>
        </w:rPr>
        <w:t>Horizon</w:t>
      </w:r>
      <w:r>
        <w:rPr>
          <w:rFonts w:ascii="Times New Roman" w:hAnsi="Times New Roman" w:cs="Times New Roman"/>
        </w:rPr>
        <w:t>) measured as the number of days between the analyst’s forecast date and the earnings announcement date, the number of analysts following the forecasted firm (</w:t>
      </w:r>
      <w:r>
        <w:rPr>
          <w:rFonts w:ascii="Times New Roman" w:hAnsi="Times New Roman" w:cs="Times New Roman"/>
          <w:i/>
          <w:iCs/>
        </w:rPr>
        <w:t>AnalystFollowing</w:t>
      </w:r>
      <w:r>
        <w:rPr>
          <w:rFonts w:ascii="Times New Roman" w:hAnsi="Times New Roman" w:cs="Times New Roman"/>
        </w:rPr>
        <w:t>), analyst firm-specific experience (</w:t>
      </w:r>
      <w:r>
        <w:rPr>
          <w:rFonts w:ascii="Times New Roman" w:hAnsi="Times New Roman" w:cs="Times New Roman"/>
          <w:i/>
          <w:iCs/>
        </w:rPr>
        <w:t>FirmExp</w:t>
      </w:r>
      <w:r>
        <w:rPr>
          <w:rFonts w:ascii="Times New Roman" w:hAnsi="Times New Roman" w:cs="Times New Roman"/>
        </w:rPr>
        <w:t>), and analyst general experience (</w:t>
      </w:r>
      <w:r>
        <w:rPr>
          <w:rFonts w:ascii="Times New Roman" w:hAnsi="Times New Roman" w:cs="Times New Roman"/>
          <w:i/>
          <w:iCs/>
        </w:rPr>
        <w:t>AnalysExp</w:t>
      </w:r>
      <w:r>
        <w:rPr>
          <w:rFonts w:ascii="Times New Roman" w:hAnsi="Times New Roman" w:cs="Times New Roman"/>
        </w:rPr>
        <w:t xml:space="preserve">). </w:t>
      </w:r>
    </w:p>
    <w:p w14:paraId="3A74E139">
      <w:pPr>
        <w:ind w:firstLine="440" w:firstLineChars="200"/>
        <w:jc w:val="both"/>
        <w:rPr>
          <w:rFonts w:ascii="Times New Roman" w:hAnsi="Times New Roman" w:cs="Times New Roman"/>
        </w:rPr>
      </w:pPr>
      <w:r>
        <w:rPr>
          <w:rFonts w:ascii="Times New Roman" w:hAnsi="Times New Roman" w:cs="Times New Roman"/>
        </w:rPr>
        <w:t>Finally, I also include firm and year fixed effects in my analysis to account for time-invariant heterogeneity and other firm-specific invariant characteristics that may have an impact on both an analyst’s forecast optimism and analyst ancestry country language negativity.</w:t>
      </w:r>
    </w:p>
    <w:p w14:paraId="14E98D92">
      <w:pPr>
        <w:jc w:val="both"/>
        <w:rPr>
          <w:rFonts w:ascii="Times New Roman" w:hAnsi="Times New Roman" w:cs="Times New Roman"/>
          <w:b/>
          <w:bCs/>
        </w:rPr>
      </w:pPr>
    </w:p>
    <w:p w14:paraId="323E0133">
      <w:pPr>
        <w:jc w:val="both"/>
        <w:rPr>
          <w:rFonts w:ascii="Times New Roman" w:hAnsi="Times New Roman" w:cs="Times New Roman"/>
          <w:b/>
          <w:bCs/>
        </w:rPr>
      </w:pPr>
    </w:p>
    <w:p w14:paraId="71C6D82F">
      <w:pPr>
        <w:jc w:val="both"/>
        <w:rPr>
          <w:rFonts w:ascii="Times New Roman" w:hAnsi="Times New Roman" w:cs="Times New Roman"/>
          <w:b/>
          <w:bCs/>
        </w:rPr>
      </w:pPr>
    </w:p>
    <w:p w14:paraId="33E42033">
      <w:pPr>
        <w:jc w:val="both"/>
        <w:rPr>
          <w:rFonts w:ascii="Times New Roman" w:hAnsi="Times New Roman" w:cs="Times New Roman"/>
          <w:b/>
          <w:bCs/>
        </w:rPr>
      </w:pPr>
    </w:p>
    <w:p w14:paraId="031DEEEF">
      <w:pPr>
        <w:jc w:val="both"/>
        <w:rPr>
          <w:rFonts w:ascii="Times New Roman" w:hAnsi="Times New Roman" w:cs="Times New Roman"/>
          <w:b/>
          <w:bCs/>
        </w:rPr>
      </w:pPr>
    </w:p>
    <w:p w14:paraId="128189D6">
      <w:pPr>
        <w:spacing w:after="0" w:line="240" w:lineRule="auto"/>
        <w:jc w:val="both"/>
        <w:rPr>
          <w:rFonts w:ascii="Times New Roman" w:hAnsi="Times New Roman" w:eastAsia="宋体" w:cs="Times New Roman"/>
          <w:i/>
          <w:iCs/>
          <w:szCs w:val="22"/>
          <w14:ligatures w14:val="none"/>
        </w:rPr>
      </w:pPr>
      <w:r>
        <w:rPr>
          <w:rFonts w:ascii="Times New Roman" w:hAnsi="Times New Roman" w:eastAsia="宋体" w:cs="Times New Roman"/>
          <w:b/>
          <w:bCs/>
          <w:szCs w:val="22"/>
          <w:lang w:eastAsia="zh-TW"/>
          <w14:ligatures w14:val="none"/>
        </w:rPr>
        <w:t>References</w:t>
      </w:r>
    </w:p>
    <w:p w14:paraId="5A6A537B">
      <w:pPr>
        <w:spacing w:after="0" w:line="240" w:lineRule="auto"/>
        <w:jc w:val="both"/>
        <w:rPr>
          <w:rFonts w:hint="eastAsia" w:ascii="Times New Roman" w:hAnsi="Times New Roman" w:eastAsia="宋体" w:cs="Times New Roman"/>
          <w:i/>
          <w:iCs/>
          <w:szCs w:val="22"/>
          <w14:ligatures w14:val="none"/>
        </w:rPr>
      </w:pPr>
    </w:p>
    <w:p w14:paraId="0E9195AF">
      <w:pPr>
        <w:spacing w:after="0" w:line="240" w:lineRule="auto"/>
        <w:ind w:left="576" w:hanging="576"/>
        <w:jc w:val="both"/>
        <w:rPr>
          <w:rFonts w:ascii="Times New Roman" w:hAnsi="Times New Roman" w:eastAsia="宋体" w:cs="Times New Roman"/>
          <w:szCs w:val="22"/>
          <w:lang w:eastAsia="zh-TW"/>
          <w14:ligatures w14:val="none"/>
        </w:rPr>
      </w:pPr>
      <w:r>
        <w:rPr>
          <w:rFonts w:ascii="Times New Roman" w:hAnsi="Times New Roman" w:eastAsia="宋体" w:cs="Times New Roman"/>
          <w:szCs w:val="22"/>
          <w:lang w:eastAsia="zh-TW"/>
          <w14:ligatures w14:val="none"/>
        </w:rPr>
        <w:t xml:space="preserve">Ahern, K. R., Daminelli, D., and Fracassi, C. 2015. Lost in translation? The effect of cultural values on mergers around the world. </w:t>
      </w:r>
      <w:r>
        <w:rPr>
          <w:rFonts w:ascii="Times New Roman" w:hAnsi="Times New Roman" w:eastAsia="宋体" w:cs="Times New Roman"/>
          <w:i/>
          <w:iCs/>
          <w:szCs w:val="22"/>
          <w:lang w:eastAsia="zh-TW"/>
          <w14:ligatures w14:val="none"/>
        </w:rPr>
        <w:t>Journal of Financial Economics</w:t>
      </w:r>
      <w:r>
        <w:rPr>
          <w:rFonts w:ascii="Times New Roman" w:hAnsi="Times New Roman" w:eastAsia="宋体" w:cs="Times New Roman"/>
          <w:szCs w:val="22"/>
          <w:lang w:eastAsia="zh-TW"/>
          <w14:ligatures w14:val="none"/>
        </w:rPr>
        <w:t xml:space="preserve"> 117(1): 165-189.</w:t>
      </w:r>
    </w:p>
    <w:p w14:paraId="0228243C">
      <w:pPr>
        <w:spacing w:after="0" w:line="240" w:lineRule="auto"/>
        <w:ind w:left="576" w:hanging="576"/>
        <w:jc w:val="both"/>
        <w:rPr>
          <w:rFonts w:ascii="Times New Roman" w:hAnsi="Times New Roman" w:eastAsia="宋体" w:cs="Times New Roman"/>
          <w:szCs w:val="22"/>
          <w:lang w:eastAsia="zh-TW"/>
          <w14:ligatures w14:val="none"/>
        </w:rPr>
      </w:pPr>
      <w:r>
        <w:rPr>
          <w:rFonts w:ascii="Times New Roman" w:hAnsi="Times New Roman" w:eastAsia="宋体" w:cs="Times New Roman"/>
          <w:szCs w:val="22"/>
          <w:lang w:eastAsia="zh-TW"/>
          <w14:ligatures w14:val="none"/>
        </w:rPr>
        <w:t xml:space="preserve">Atiase, R. K. 1985. Predisclosure information, firm capitalization, and security price behavior around earnings announcements. </w:t>
      </w:r>
      <w:r>
        <w:rPr>
          <w:rFonts w:ascii="Times New Roman" w:hAnsi="Times New Roman" w:eastAsia="宋体" w:cs="Times New Roman"/>
          <w:i/>
          <w:szCs w:val="22"/>
          <w:lang w:eastAsia="zh-TW"/>
          <w14:ligatures w14:val="none"/>
        </w:rPr>
        <w:t>Journal of Accounting Research</w:t>
      </w:r>
      <w:r>
        <w:rPr>
          <w:rFonts w:ascii="Times New Roman" w:hAnsi="Times New Roman" w:eastAsia="宋体" w:cs="Times New Roman"/>
          <w:szCs w:val="22"/>
          <w:lang w:eastAsia="zh-TW"/>
          <w14:ligatures w14:val="none"/>
        </w:rPr>
        <w:t xml:space="preserve"> 23(1): 21-36.</w:t>
      </w:r>
    </w:p>
    <w:p w14:paraId="5902B41D">
      <w:pPr>
        <w:spacing w:after="0" w:line="240" w:lineRule="auto"/>
        <w:ind w:left="576" w:hanging="576"/>
        <w:jc w:val="both"/>
        <w:rPr>
          <w:rFonts w:ascii="Times New Roman" w:hAnsi="Times New Roman" w:eastAsia="宋体" w:cs="Times New Roman"/>
          <w:szCs w:val="22"/>
          <w:lang w:eastAsia="zh-TW"/>
          <w14:ligatures w14:val="none"/>
        </w:rPr>
      </w:pPr>
      <w:r>
        <w:rPr>
          <w:rFonts w:ascii="Times New Roman" w:hAnsi="Times New Roman" w:eastAsia="宋体" w:cs="Times New Roman"/>
          <w:szCs w:val="22"/>
          <w:lang w:eastAsia="zh-TW"/>
          <w14:ligatures w14:val="none"/>
        </w:rPr>
        <w:t>Bae, K. H., Tan, H., and Welker, M. 2008. International GAAP differences: The impact on foreign analysts.</w:t>
      </w:r>
      <w:r>
        <w:rPr>
          <w:rFonts w:ascii="Times New Roman" w:hAnsi="Times New Roman" w:eastAsia="宋体" w:cs="Times New Roman"/>
          <w:i/>
          <w:iCs/>
          <w:szCs w:val="22"/>
          <w:lang w:eastAsia="zh-TW"/>
          <w14:ligatures w14:val="none"/>
        </w:rPr>
        <w:t xml:space="preserve"> The Accounting Review</w:t>
      </w:r>
      <w:r>
        <w:rPr>
          <w:rFonts w:ascii="Times New Roman" w:hAnsi="Times New Roman" w:eastAsia="宋体" w:cs="Times New Roman"/>
          <w:szCs w:val="22"/>
          <w:lang w:eastAsia="zh-TW"/>
          <w14:ligatures w14:val="none"/>
        </w:rPr>
        <w:t xml:space="preserve"> 83(3): 593-628.</w:t>
      </w:r>
    </w:p>
    <w:p w14:paraId="57C49DB8">
      <w:pPr>
        <w:spacing w:after="0" w:line="240" w:lineRule="auto"/>
        <w:ind w:left="576" w:hanging="576"/>
        <w:jc w:val="both"/>
        <w:rPr>
          <w:rFonts w:ascii="Times New Roman" w:hAnsi="Times New Roman" w:eastAsia="宋体" w:cs="Times New Roman"/>
          <w:szCs w:val="22"/>
          <w:lang w:eastAsia="zh-TW"/>
          <w14:ligatures w14:val="none"/>
        </w:rPr>
      </w:pPr>
      <w:r>
        <w:rPr>
          <w:rFonts w:ascii="Times New Roman" w:hAnsi="Times New Roman" w:eastAsia="宋体" w:cs="Times New Roman"/>
          <w:szCs w:val="22"/>
          <w:lang w:eastAsia="zh-TW"/>
          <w14:ligatures w14:val="none"/>
        </w:rPr>
        <w:t xml:space="preserve">Baker, S. R., Bloom, N., and Davis, S. J. 2016. Measuring economic policy uncertainty. </w:t>
      </w:r>
      <w:r>
        <w:rPr>
          <w:rFonts w:ascii="Times New Roman" w:hAnsi="Times New Roman" w:eastAsia="宋体" w:cs="Times New Roman"/>
          <w:i/>
          <w:szCs w:val="22"/>
          <w:lang w:eastAsia="zh-TW"/>
          <w14:ligatures w14:val="none"/>
        </w:rPr>
        <w:t>The Quarterly Journal of Economics</w:t>
      </w:r>
      <w:r>
        <w:rPr>
          <w:rFonts w:ascii="Times New Roman" w:hAnsi="Times New Roman" w:eastAsia="宋体" w:cs="Times New Roman"/>
          <w:szCs w:val="22"/>
          <w:lang w:eastAsia="zh-TW"/>
          <w14:ligatures w14:val="none"/>
        </w:rPr>
        <w:t xml:space="preserve"> 131(4): 1593-1636.</w:t>
      </w:r>
    </w:p>
    <w:p w14:paraId="2CE37CE1">
      <w:pPr>
        <w:spacing w:after="0" w:line="240" w:lineRule="auto"/>
        <w:ind w:left="576" w:hanging="576"/>
        <w:jc w:val="both"/>
        <w:rPr>
          <w:rFonts w:ascii="Times New Roman" w:hAnsi="Times New Roman" w:eastAsia="宋体" w:cs="Times New Roman"/>
          <w:szCs w:val="22"/>
          <w:lang w:eastAsia="zh-TW"/>
          <w14:ligatures w14:val="none"/>
        </w:rPr>
      </w:pPr>
      <w:r>
        <w:rPr>
          <w:rFonts w:ascii="Times New Roman" w:hAnsi="Times New Roman" w:eastAsia="宋体" w:cs="Times New Roman"/>
          <w:szCs w:val="22"/>
          <w:lang w:eastAsia="zh-TW"/>
          <w14:ligatures w14:val="none"/>
        </w:rPr>
        <w:t xml:space="preserve">Barniv, R., Myring, M., and Thomas, W. 2005. The association between the legal and financial reporting environments and forecast performance of individual analysts. </w:t>
      </w:r>
      <w:r>
        <w:rPr>
          <w:rFonts w:ascii="Times New Roman" w:hAnsi="Times New Roman" w:eastAsia="宋体" w:cs="Times New Roman"/>
          <w:i/>
          <w:iCs/>
          <w:szCs w:val="22"/>
          <w:lang w:eastAsia="zh-TW"/>
          <w14:ligatures w14:val="none"/>
        </w:rPr>
        <w:t xml:space="preserve">Contemporary Accounting Research </w:t>
      </w:r>
      <w:r>
        <w:rPr>
          <w:rFonts w:ascii="Times New Roman" w:hAnsi="Times New Roman" w:eastAsia="宋体" w:cs="Times New Roman"/>
          <w:szCs w:val="22"/>
          <w:lang w:eastAsia="zh-TW"/>
          <w14:ligatures w14:val="none"/>
        </w:rPr>
        <w:t>22(4): 727-758.</w:t>
      </w:r>
    </w:p>
    <w:p w14:paraId="6FA68E6B">
      <w:pPr>
        <w:jc w:val="both"/>
        <w:rPr>
          <w:rFonts w:hint="eastAsia" w:ascii="Times New Roman" w:hAnsi="Times New Roman" w:cs="Times New Roman"/>
        </w:rPr>
      </w:pPr>
      <w:r>
        <w:rPr>
          <w:rFonts w:ascii="Times New Roman" w:hAnsi="Times New Roman" w:cs="Times New Roman"/>
        </w:rPr>
        <w:t>…</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B708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CAD4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23905">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4B6D8">
    <w:pPr>
      <w:pStyle w:val="12"/>
      <w:jc w:val="left"/>
      <w:rPr>
        <w:rFonts w:ascii="Times New Roman" w:hAnsi="Times New Roman" w:cs="Times New Roman"/>
        <w:sz w:val="20"/>
        <w:szCs w:val="20"/>
      </w:rPr>
    </w:pPr>
    <w:sdt>
      <w:sdtPr>
        <w:rPr>
          <w:rFonts w:ascii="Times New Roman" w:hAnsi="Times New Roman" w:cs="Times New Roman"/>
          <w:sz w:val="20"/>
          <w:szCs w:val="20"/>
        </w:rPr>
        <w:id w:val="61532523"/>
        <w:docPartObj>
          <w:docPartGallery w:val="AutoText"/>
        </w:docPartObj>
      </w:sdtPr>
      <w:sdtEndPr>
        <w:rPr>
          <w:rFonts w:ascii="Times New Roman" w:hAnsi="Times New Roman" w:cs="Times New Roman"/>
          <w:sz w:val="20"/>
          <w:szCs w:val="20"/>
        </w:rPr>
      </w:sdtEndPr>
      <w:sdtContent>
        <w:r>
          <w:rPr>
            <w:rFonts w:ascii="Times New Roman" w:hAnsi="Times New Roman" w:cs="Times New Roman"/>
            <w:sz w:val="20"/>
            <w:szCs w:val="20"/>
          </w:rPr>
          <w:pict>
            <v:shape id="PowerPlusWaterMarkObject270996877" o:spid="_x0000_s1027" o:spt="136" type="#_x0000_t136" style="position:absolute;left:0pt;height:76.35pt;width:509.1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path="t" trim="f" xscale="f" string="FIN405 Proposal Example" style="font-family:calibri;font-size:1pt;v-text-align:center;"/>
            </v:shape>
          </w:pict>
        </w:r>
      </w:sdtContent>
    </w:sdt>
    <w:r>
      <w:rPr>
        <w:rFonts w:ascii="Times New Roman" w:hAnsi="Times New Roman" w:cs="Times New Roman"/>
        <w:sz w:val="20"/>
        <w:szCs w:val="20"/>
      </w:rPr>
      <w:t>Fin405 Research Proposal Example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4DE24">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8FA9D">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EE0"/>
    <w:rsid w:val="000F555B"/>
    <w:rsid w:val="000F7126"/>
    <w:rsid w:val="001B2394"/>
    <w:rsid w:val="001D3A11"/>
    <w:rsid w:val="00384EE0"/>
    <w:rsid w:val="003A014B"/>
    <w:rsid w:val="00501E6E"/>
    <w:rsid w:val="00815F33"/>
    <w:rsid w:val="00823A92"/>
    <w:rsid w:val="008874EB"/>
    <w:rsid w:val="00A2689D"/>
    <w:rsid w:val="00BC415A"/>
    <w:rsid w:val="00C81ED3"/>
    <w:rsid w:val="00F030B4"/>
    <w:rsid w:val="77D67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Heading 1 Char"/>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Heading 2 Char"/>
    <w:basedOn w:val="16"/>
    <w:link w:val="3"/>
    <w:uiPriority w:val="9"/>
    <w:rPr>
      <w:rFonts w:asciiTheme="majorHAnsi" w:hAnsiTheme="majorHAnsi" w:eastAsiaTheme="majorEastAsia" w:cstheme="majorBidi"/>
      <w:color w:val="104862" w:themeColor="accent1" w:themeShade="BF"/>
      <w:sz w:val="40"/>
      <w:szCs w:val="40"/>
    </w:rPr>
  </w:style>
  <w:style w:type="character" w:customStyle="1" w:styleId="19">
    <w:name w:val="Heading 3 Char"/>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4 Char"/>
    <w:basedOn w:val="16"/>
    <w:link w:val="5"/>
    <w:semiHidden/>
    <w:uiPriority w:val="9"/>
    <w:rPr>
      <w:rFonts w:cstheme="majorBidi"/>
      <w:color w:val="104862" w:themeColor="accent1" w:themeShade="BF"/>
      <w:sz w:val="28"/>
      <w:szCs w:val="28"/>
    </w:rPr>
  </w:style>
  <w:style w:type="character" w:customStyle="1" w:styleId="21">
    <w:name w:val="Heading 5 Char"/>
    <w:basedOn w:val="16"/>
    <w:link w:val="6"/>
    <w:semiHidden/>
    <w:uiPriority w:val="9"/>
    <w:rPr>
      <w:rFonts w:cstheme="majorBidi"/>
      <w:color w:val="104862" w:themeColor="accent1" w:themeShade="BF"/>
      <w:sz w:val="24"/>
    </w:rPr>
  </w:style>
  <w:style w:type="character" w:customStyle="1" w:styleId="22">
    <w:name w:val="Heading 6 Char"/>
    <w:basedOn w:val="16"/>
    <w:link w:val="7"/>
    <w:semiHidden/>
    <w:uiPriority w:val="9"/>
    <w:rPr>
      <w:rFonts w:cstheme="majorBidi"/>
      <w:b/>
      <w:bCs/>
      <w:color w:val="104862" w:themeColor="accent1" w:themeShade="BF"/>
    </w:rPr>
  </w:style>
  <w:style w:type="character" w:customStyle="1" w:styleId="23">
    <w:name w:val="Heading 7 Char"/>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Heading 8 Char"/>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Heading 9 Char"/>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Title Char"/>
    <w:basedOn w:val="16"/>
    <w:link w:val="14"/>
    <w:uiPriority w:val="10"/>
    <w:rPr>
      <w:rFonts w:asciiTheme="majorHAnsi" w:hAnsiTheme="majorHAnsi" w:eastAsiaTheme="majorEastAsia" w:cstheme="majorBidi"/>
      <w:spacing w:val="-10"/>
      <w:kern w:val="28"/>
      <w:sz w:val="56"/>
      <w:szCs w:val="56"/>
    </w:rPr>
  </w:style>
  <w:style w:type="character" w:customStyle="1" w:styleId="27">
    <w:name w:val="Subtitle Char"/>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Header Char"/>
    <w:basedOn w:val="16"/>
    <w:link w:val="12"/>
    <w:uiPriority w:val="99"/>
    <w:rPr>
      <w:sz w:val="18"/>
      <w:szCs w:val="18"/>
    </w:rPr>
  </w:style>
  <w:style w:type="character" w:customStyle="1" w:styleId="36">
    <w:name w:val="Footer Char"/>
    <w:basedOn w:val="16"/>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8DBD5E-5342-45F4-A0E8-B455CAB87481}">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2620</Words>
  <Characters>14936</Characters>
  <Lines>124</Lines>
  <Paragraphs>35</Paragraphs>
  <TotalTime>24</TotalTime>
  <ScaleCrop>false</ScaleCrop>
  <LinksUpToDate>false</LinksUpToDate>
  <CharactersWithSpaces>17521</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2025-09-10T12:36:00Z</dcterms:created>
  <dc:creator>james liu</dc:creator>
  <cp:lastModifiedBy>果果</cp:lastModifiedBy>
  <cp:lastPrinted>2025-09-10T23:31:00Z</cp:lastPrinted>
  <dcterms:modified xsi:type="dcterms:W3CDTF">2025-10-24T02:03:59Z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00127ACB6D3A34890F6EFA68278A006F_42</vt:lpwstr>
  </property>
</Properties>
</file>