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7C104">
      <w:pPr>
        <w:spacing w:after="0" w:line="240" w:lineRule="auto"/>
        <w:rPr>
          <w:rFonts w:hint="eastAsia"/>
          <w:b/>
          <w:bCs/>
          <w:sz w:val="18"/>
          <w:szCs w:val="20"/>
        </w:rPr>
      </w:pPr>
      <w:bookmarkStart w:id="0" w:name="_GoBack"/>
      <w:bookmarkEnd w:id="0"/>
      <w:r>
        <w:rPr>
          <w:rFonts w:hint="eastAsia"/>
          <w:b/>
          <w:bCs/>
          <w:sz w:val="18"/>
          <w:szCs w:val="20"/>
        </w:rPr>
        <w:t>We are Group 3, and this is our content</w:t>
      </w:r>
    </w:p>
    <w:p w14:paraId="080F23D5">
      <w:pPr>
        <w:spacing w:after="0" w:line="240" w:lineRule="auto"/>
        <w:rPr>
          <w:rFonts w:hint="eastAsia"/>
          <w:sz w:val="18"/>
          <w:szCs w:val="20"/>
        </w:rPr>
      </w:pPr>
      <w:r>
        <w:rPr>
          <w:sz w:val="18"/>
          <w:szCs w:val="20"/>
        </w:rPr>
        <w:t>In today’s capital markets, it’s very important to spot signs of financial trouble in listed companies early—not just for company managers, but also for investors and regulators.</w:t>
      </w:r>
    </w:p>
    <w:p w14:paraId="47DE5F72">
      <w:pPr>
        <w:spacing w:after="0" w:line="240" w:lineRule="auto"/>
        <w:rPr>
          <w:rFonts w:hint="eastAsia"/>
          <w:sz w:val="18"/>
          <w:szCs w:val="20"/>
        </w:rPr>
      </w:pPr>
      <w:r>
        <w:rPr>
          <w:sz w:val="18"/>
          <w:szCs w:val="20"/>
        </w:rPr>
        <w:t>Financial distress doesn’t only affect the company’s operations. It can also cause big losses for investors and even create wider risks in the market.</w:t>
      </w:r>
    </w:p>
    <w:p w14:paraId="390073AD">
      <w:pPr>
        <w:spacing w:after="0" w:line="240" w:lineRule="auto"/>
        <w:rPr>
          <w:rFonts w:hint="eastAsia"/>
          <w:sz w:val="18"/>
          <w:szCs w:val="20"/>
        </w:rPr>
      </w:pPr>
      <w:r>
        <w:rPr>
          <w:sz w:val="18"/>
          <w:szCs w:val="20"/>
        </w:rPr>
        <w:t>In China’s A-share market, as the market grows and global capital flows increase, predicting whether a company might be labeled as “Special Treatment” has become an important risk management tool.</w:t>
      </w:r>
    </w:p>
    <w:p w14:paraId="616296D4">
      <w:pPr>
        <w:spacing w:after="0" w:line="240" w:lineRule="auto"/>
        <w:rPr>
          <w:rFonts w:hint="eastAsia"/>
          <w:sz w:val="18"/>
          <w:szCs w:val="20"/>
        </w:rPr>
      </w:pPr>
      <w:r>
        <w:rPr>
          <w:sz w:val="18"/>
          <w:szCs w:val="20"/>
        </w:rPr>
        <w:t>A good financial warning system can help companies take action early and also give investors useful information for decision-making.</w:t>
      </w:r>
    </w:p>
    <w:p w14:paraId="1E411AD5">
      <w:pPr>
        <w:spacing w:after="0" w:line="240" w:lineRule="auto"/>
        <w:rPr>
          <w:rFonts w:hint="eastAsia"/>
          <w:sz w:val="18"/>
          <w:szCs w:val="20"/>
        </w:rPr>
      </w:pPr>
      <w:r>
        <w:rPr>
          <w:sz w:val="18"/>
          <w:szCs w:val="20"/>
        </w:rPr>
        <w:t>In this study, we focus on data from 2019. That year, many companies in China faced serious financial challenges due to economic pressure and the U.S.-China trade tensions. The number of ST companies went up a lot, and many financial problems became clear during this time.</w:t>
      </w:r>
    </w:p>
    <w:p w14:paraId="42AF32B9">
      <w:pPr>
        <w:spacing w:after="0" w:line="240" w:lineRule="auto"/>
        <w:rPr>
          <w:rFonts w:hint="eastAsia"/>
          <w:sz w:val="18"/>
          <w:szCs w:val="20"/>
        </w:rPr>
      </w:pPr>
      <w:r>
        <w:rPr>
          <w:sz w:val="18"/>
          <w:szCs w:val="20"/>
        </w:rPr>
        <w:t>So, by looking at 2019, we can better see the key signs of financial trouble, making our research more relevant and meaningful.</w:t>
      </w:r>
    </w:p>
    <w:p w14:paraId="5639B8C6">
      <w:pPr>
        <w:spacing w:after="0" w:line="240" w:lineRule="auto"/>
        <w:rPr>
          <w:rFonts w:hint="eastAsia"/>
          <w:sz w:val="18"/>
          <w:szCs w:val="20"/>
        </w:rPr>
      </w:pPr>
    </w:p>
    <w:p w14:paraId="7F726E66">
      <w:pPr>
        <w:spacing w:after="0" w:line="240" w:lineRule="auto"/>
        <w:rPr>
          <w:rFonts w:hint="eastAsia"/>
          <w:sz w:val="18"/>
          <w:szCs w:val="20"/>
        </w:rPr>
      </w:pPr>
      <w:r>
        <w:rPr>
          <w:b/>
          <w:bCs/>
          <w:sz w:val="18"/>
          <w:szCs w:val="20"/>
        </w:rPr>
        <w:t>Related Research</w:t>
      </w:r>
    </w:p>
    <w:p w14:paraId="64024387">
      <w:pPr>
        <w:spacing w:after="0" w:line="240" w:lineRule="auto"/>
        <w:rPr>
          <w:rFonts w:hint="eastAsia"/>
          <w:sz w:val="18"/>
          <w:szCs w:val="20"/>
        </w:rPr>
      </w:pPr>
      <w:r>
        <w:rPr>
          <w:sz w:val="18"/>
          <w:szCs w:val="20"/>
        </w:rPr>
        <w:t>Many researchers have studied how to predict financial distress.</w:t>
      </w:r>
    </w:p>
    <w:p w14:paraId="45E57147">
      <w:pPr>
        <w:spacing w:after="0" w:line="240" w:lineRule="auto"/>
        <w:rPr>
          <w:rFonts w:hint="eastAsia"/>
          <w:sz w:val="18"/>
          <w:szCs w:val="20"/>
        </w:rPr>
      </w:pPr>
      <w:r>
        <w:rPr>
          <w:sz w:val="18"/>
          <w:szCs w:val="20"/>
        </w:rPr>
        <w:t xml:space="preserve">For example, </w:t>
      </w:r>
      <w:r>
        <w:rPr>
          <w:rFonts w:hint="eastAsia"/>
          <w:sz w:val="18"/>
          <w:szCs w:val="20"/>
        </w:rPr>
        <w:t xml:space="preserve">a study in </w:t>
      </w:r>
      <w:r>
        <w:rPr>
          <w:sz w:val="18"/>
          <w:szCs w:val="20"/>
        </w:rPr>
        <w:t>2014</w:t>
      </w:r>
      <w:r>
        <w:rPr>
          <w:rFonts w:hint="eastAsia"/>
          <w:sz w:val="18"/>
          <w:szCs w:val="20"/>
        </w:rPr>
        <w:t xml:space="preserve"> </w:t>
      </w:r>
      <w:r>
        <w:rPr>
          <w:sz w:val="18"/>
          <w:szCs w:val="20"/>
        </w:rPr>
        <w:t>pointed out that China’s ST system offers a useful early warning signal, especially when financial risks are rising.</w:t>
      </w:r>
    </w:p>
    <w:p w14:paraId="0E378577">
      <w:pPr>
        <w:spacing w:after="0" w:line="240" w:lineRule="auto"/>
        <w:rPr>
          <w:rFonts w:hint="eastAsia"/>
          <w:sz w:val="18"/>
          <w:szCs w:val="20"/>
        </w:rPr>
      </w:pPr>
      <w:r>
        <w:rPr>
          <w:sz w:val="18"/>
          <w:szCs w:val="20"/>
        </w:rPr>
        <w:t>They looked at data from 107 ST</w:t>
      </w:r>
      <w:r>
        <w:rPr>
          <w:rFonts w:hint="eastAsia"/>
          <w:sz w:val="18"/>
          <w:szCs w:val="20"/>
        </w:rPr>
        <w:t xml:space="preserve"> </w:t>
      </w:r>
      <w:r>
        <w:rPr>
          <w:sz w:val="18"/>
          <w:szCs w:val="20"/>
        </w:rPr>
        <w:t>and normal ones, using 31 financial indicators. They tested prediction models like neural networks, decision trees, and support vector machines.</w:t>
      </w:r>
    </w:p>
    <w:p w14:paraId="0307E373">
      <w:pPr>
        <w:spacing w:after="0" w:line="240" w:lineRule="auto"/>
        <w:rPr>
          <w:rFonts w:hint="eastAsia"/>
          <w:sz w:val="18"/>
          <w:szCs w:val="20"/>
        </w:rPr>
      </w:pPr>
      <w:r>
        <w:rPr>
          <w:sz w:val="18"/>
          <w:szCs w:val="20"/>
        </w:rPr>
        <w:t>Their study showed that neural networks gave the best results. Also, some key indicators—like total liabilities to total assets , net profit to sales revenue , and earnings per share —played an important role in prediction.</w:t>
      </w:r>
    </w:p>
    <w:p w14:paraId="60AD759D">
      <w:pPr>
        <w:spacing w:after="0" w:line="240" w:lineRule="auto"/>
        <w:rPr>
          <w:sz w:val="18"/>
          <w:szCs w:val="20"/>
        </w:rPr>
      </w:pPr>
      <w:r>
        <w:rPr>
          <w:sz w:val="18"/>
          <w:szCs w:val="20"/>
        </w:rPr>
        <w:t>This research shows that data</w:t>
      </w:r>
      <w:r>
        <w:rPr>
          <w:rFonts w:hint="eastAsia"/>
          <w:sz w:val="18"/>
          <w:szCs w:val="20"/>
        </w:rPr>
        <w:t xml:space="preserve"> </w:t>
      </w:r>
      <w:r>
        <w:rPr>
          <w:sz w:val="18"/>
          <w:szCs w:val="20"/>
        </w:rPr>
        <w:t>mining methods are effective for predicting financial risk. It also gives us a strong base to build our own data process, feature selection, and model use.</w:t>
      </w:r>
    </w:p>
    <w:p w14:paraId="4CF8BEFA">
      <w:pPr>
        <w:spacing w:after="0" w:line="240" w:lineRule="auto"/>
        <w:rPr>
          <w:rFonts w:hint="eastAsia"/>
          <w:sz w:val="18"/>
          <w:szCs w:val="20"/>
        </w:rPr>
      </w:pPr>
    </w:p>
    <w:p w14:paraId="330DB7D7">
      <w:pPr>
        <w:spacing w:after="0"/>
        <w:rPr>
          <w:rFonts w:hint="eastAsia"/>
          <w:sz w:val="18"/>
          <w:szCs w:val="20"/>
        </w:rPr>
      </w:pPr>
      <w:r>
        <w:rPr>
          <w:sz w:val="18"/>
          <w:szCs w:val="20"/>
        </w:rPr>
        <w:pict>
          <v:rect id="_x0000_i1025" o:spt="1" style="height:1.5pt;width:0pt;" fillcolor="#A0A0A0" filled="t" stroked="f" coordsize="21600,21600" o:hr="t" o:hrstd="t" o:hralign="center">
            <v:path/>
            <v:fill on="t" focussize="0,0"/>
            <v:stroke on="f"/>
            <v:imagedata o:title=""/>
            <o:lock v:ext="edit"/>
            <w10:wrap type="none"/>
            <w10:anchorlock/>
          </v:rect>
        </w:pict>
      </w:r>
    </w:p>
    <w:p w14:paraId="1969654E">
      <w:pPr>
        <w:spacing w:after="0"/>
        <w:rPr>
          <w:rFonts w:hint="eastAsia" w:ascii="等线" w:hAnsi="等线" w:eastAsia="等线" w:cs="Times New Roman"/>
          <w:b/>
          <w:bCs/>
          <w:sz w:val="15"/>
          <w:szCs w:val="16"/>
        </w:rPr>
      </w:pPr>
      <w:r>
        <w:rPr>
          <w:rFonts w:hint="eastAsia" w:ascii="等线" w:hAnsi="等线" w:eastAsia="等线" w:cs="Times New Roman"/>
          <w:b/>
          <w:bCs/>
          <w:sz w:val="15"/>
          <w:szCs w:val="16"/>
        </w:rPr>
        <w:t>The third part is the de</w:t>
      </w:r>
      <w:r>
        <w:rPr>
          <w:rFonts w:ascii="等线" w:hAnsi="等线" w:eastAsia="等线" w:cs="Times New Roman"/>
          <w:b/>
          <w:bCs/>
          <w:sz w:val="15"/>
          <w:szCs w:val="16"/>
        </w:rPr>
        <w:t>scription of data set</w:t>
      </w:r>
      <w:r>
        <w:rPr>
          <w:rFonts w:hint="eastAsia" w:ascii="等线" w:hAnsi="等线" w:eastAsia="等线" w:cs="Times New Roman"/>
          <w:b/>
          <w:bCs/>
          <w:sz w:val="15"/>
          <w:szCs w:val="16"/>
        </w:rPr>
        <w:t xml:space="preserve">. </w:t>
      </w:r>
    </w:p>
    <w:p w14:paraId="35AE530E">
      <w:pPr>
        <w:spacing w:after="0"/>
        <w:rPr>
          <w:rFonts w:hint="eastAsia" w:ascii="等线" w:hAnsi="等线" w:eastAsia="等线" w:cs="Times New Roman"/>
          <w:sz w:val="15"/>
          <w:szCs w:val="16"/>
        </w:rPr>
      </w:pPr>
      <w:r>
        <w:rPr>
          <w:rFonts w:hint="eastAsia" w:ascii="等线" w:hAnsi="等线" w:eastAsia="等线" w:cs="Times New Roman"/>
          <w:sz w:val="15"/>
          <w:szCs w:val="16"/>
        </w:rPr>
        <w:t>On CSMAR, w</w:t>
      </w:r>
      <w:r>
        <w:rPr>
          <w:rFonts w:ascii="等线" w:hAnsi="等线" w:eastAsia="等线" w:cs="Times New Roman"/>
          <w:sz w:val="15"/>
          <w:szCs w:val="16"/>
        </w:rPr>
        <w:t xml:space="preserve">e identified 51 ST-labeled companies from 2019 China A-share listings and collected their quarterly financial data from 2015-2019. </w:t>
      </w:r>
      <w:r>
        <w:rPr>
          <w:rFonts w:hint="eastAsia" w:ascii="等线" w:hAnsi="等线" w:eastAsia="等线" w:cs="Times New Roman"/>
          <w:sz w:val="15"/>
          <w:szCs w:val="16"/>
        </w:rPr>
        <w:t xml:space="preserve">According to </w:t>
      </w:r>
      <w:r>
        <w:rPr>
          <w:rFonts w:ascii="等线" w:hAnsi="等线" w:eastAsia="等线" w:cs="Times New Roman"/>
          <w:sz w:val="15"/>
          <w:szCs w:val="16"/>
        </w:rPr>
        <w:t>2014</w:t>
      </w:r>
      <w:r>
        <w:rPr>
          <w:rFonts w:hint="eastAsia" w:ascii="等线" w:hAnsi="等线" w:eastAsia="等线" w:cs="Times New Roman"/>
          <w:sz w:val="15"/>
          <w:szCs w:val="16"/>
        </w:rPr>
        <w:t xml:space="preserve"> study, we used</w:t>
      </w:r>
      <w:r>
        <w:rPr>
          <w:rFonts w:ascii="等线" w:hAnsi="等线" w:eastAsia="等线" w:cs="Times New Roman"/>
          <w:sz w:val="15"/>
          <w:szCs w:val="16"/>
        </w:rPr>
        <w:t xml:space="preserve"> </w:t>
      </w:r>
      <w:r>
        <w:rPr>
          <w:rFonts w:hint="eastAsia" w:ascii="等线" w:hAnsi="等线" w:eastAsia="等线" w:cs="Times New Roman"/>
          <w:sz w:val="15"/>
          <w:szCs w:val="16"/>
        </w:rPr>
        <w:t>five</w:t>
      </w:r>
      <w:r>
        <w:rPr>
          <w:rFonts w:ascii="等线" w:hAnsi="等线" w:eastAsia="等线" w:cs="Times New Roman"/>
          <w:sz w:val="15"/>
          <w:szCs w:val="16"/>
        </w:rPr>
        <w:t xml:space="preserve"> financial dimensions, </w:t>
      </w:r>
      <w:r>
        <w:rPr>
          <w:rFonts w:hint="eastAsia" w:ascii="等线" w:hAnsi="等线" w:eastAsia="等线" w:cs="Times New Roman"/>
          <w:sz w:val="15"/>
          <w:szCs w:val="16"/>
        </w:rPr>
        <w:t xml:space="preserve">and </w:t>
      </w:r>
      <w:r>
        <w:rPr>
          <w:rFonts w:ascii="等线" w:hAnsi="等线" w:eastAsia="等线" w:cs="Times New Roman"/>
          <w:sz w:val="15"/>
          <w:szCs w:val="16"/>
        </w:rPr>
        <w:t xml:space="preserve">calculated </w:t>
      </w:r>
      <w:r>
        <w:rPr>
          <w:rFonts w:hint="eastAsia" w:ascii="等线" w:hAnsi="等线" w:eastAsia="等线" w:cs="Times New Roman"/>
          <w:sz w:val="15"/>
          <w:szCs w:val="16"/>
        </w:rPr>
        <w:t>11</w:t>
      </w:r>
      <w:r>
        <w:rPr>
          <w:rFonts w:ascii="等线" w:hAnsi="等线" w:eastAsia="等线" w:cs="Times New Roman"/>
          <w:sz w:val="15"/>
          <w:szCs w:val="16"/>
        </w:rPr>
        <w:t xml:space="preserve"> key metrics for each company. </w:t>
      </w:r>
      <w:r>
        <w:rPr>
          <w:rFonts w:hint="eastAsia" w:ascii="等线" w:hAnsi="等线" w:eastAsia="等线" w:cs="Times New Roman"/>
          <w:sz w:val="15"/>
          <w:szCs w:val="16"/>
        </w:rPr>
        <w:t>At the same time</w:t>
      </w:r>
      <w:r>
        <w:rPr>
          <w:rFonts w:ascii="等线" w:hAnsi="等线" w:eastAsia="等线" w:cs="Times New Roman"/>
          <w:sz w:val="15"/>
          <w:szCs w:val="16"/>
        </w:rPr>
        <w:t>, we gathered</w:t>
      </w:r>
      <w:r>
        <w:rPr>
          <w:rFonts w:hint="eastAsia" w:ascii="等线" w:hAnsi="等线" w:eastAsia="等线" w:cs="Times New Roman"/>
          <w:sz w:val="15"/>
          <w:szCs w:val="16"/>
        </w:rPr>
        <w:t xml:space="preserve"> above data for N</w:t>
      </w:r>
      <w:r>
        <w:rPr>
          <w:rFonts w:ascii="等线" w:hAnsi="等线" w:eastAsia="等线" w:cs="Times New Roman"/>
          <w:sz w:val="15"/>
          <w:szCs w:val="16"/>
        </w:rPr>
        <w:t>on-ST compan</w:t>
      </w:r>
      <w:r>
        <w:rPr>
          <w:rFonts w:hint="eastAsia" w:ascii="等线" w:hAnsi="等线" w:eastAsia="等线" w:cs="Times New Roman"/>
          <w:sz w:val="15"/>
          <w:szCs w:val="16"/>
        </w:rPr>
        <w:t xml:space="preserve">ies </w:t>
      </w:r>
      <w:r>
        <w:rPr>
          <w:rFonts w:ascii="等线" w:hAnsi="等线" w:eastAsia="等线" w:cs="Times New Roman"/>
          <w:sz w:val="15"/>
          <w:szCs w:val="16"/>
        </w:rPr>
        <w:t>in the same period</w:t>
      </w:r>
      <w:r>
        <w:rPr>
          <w:rFonts w:hint="eastAsia" w:ascii="等线" w:hAnsi="等线" w:eastAsia="等线" w:cs="Times New Roman"/>
          <w:sz w:val="15"/>
          <w:szCs w:val="16"/>
        </w:rPr>
        <w:t xml:space="preserve"> </w:t>
      </w:r>
      <w:r>
        <w:rPr>
          <w:rFonts w:ascii="等线" w:hAnsi="等线" w:eastAsia="等线" w:cs="Times New Roman"/>
          <w:sz w:val="15"/>
          <w:szCs w:val="16"/>
        </w:rPr>
        <w:t>as control groups, resulting in two</w:t>
      </w:r>
      <w:r>
        <w:rPr>
          <w:rFonts w:hint="eastAsia" w:ascii="等线" w:hAnsi="等线" w:eastAsia="等线" w:cs="Times New Roman"/>
          <w:sz w:val="15"/>
          <w:szCs w:val="16"/>
        </w:rPr>
        <w:t xml:space="preserve"> </w:t>
      </w:r>
      <w:r>
        <w:rPr>
          <w:rFonts w:ascii="等线" w:hAnsi="等线" w:eastAsia="等线" w:cs="Times New Roman"/>
          <w:sz w:val="15"/>
          <w:szCs w:val="16"/>
        </w:rPr>
        <w:t xml:space="preserve">feature datasets, ST and </w:t>
      </w:r>
      <w:r>
        <w:rPr>
          <w:rFonts w:hint="eastAsia" w:ascii="等线" w:hAnsi="等线" w:eastAsia="等线" w:cs="Times New Roman"/>
          <w:sz w:val="15"/>
          <w:szCs w:val="16"/>
        </w:rPr>
        <w:t>N</w:t>
      </w:r>
      <w:r>
        <w:rPr>
          <w:rFonts w:ascii="等线" w:hAnsi="等线" w:eastAsia="等线" w:cs="Times New Roman"/>
          <w:sz w:val="15"/>
          <w:szCs w:val="16"/>
        </w:rPr>
        <w:t>on-ST.</w:t>
      </w:r>
    </w:p>
    <w:p w14:paraId="7F97EA13">
      <w:pPr>
        <w:spacing w:after="0"/>
        <w:rPr>
          <w:rFonts w:ascii="等线" w:hAnsi="等线" w:eastAsia="等线" w:cs="Times New Roman"/>
          <w:b/>
          <w:bCs/>
          <w:sz w:val="15"/>
          <w:szCs w:val="16"/>
        </w:rPr>
      </w:pPr>
      <w:r>
        <w:rPr>
          <w:rFonts w:ascii="等线" w:hAnsi="等线" w:eastAsia="等线" w:cs="Times New Roman"/>
          <w:b/>
          <w:bCs/>
          <w:sz w:val="15"/>
          <w:szCs w:val="16"/>
        </w:rPr>
        <w:t>Next is our data processing pipeline.</w:t>
      </w:r>
    </w:p>
    <w:p w14:paraId="01FBC90D">
      <w:pPr>
        <w:spacing w:after="0"/>
        <w:rPr>
          <w:rFonts w:ascii="等线" w:hAnsi="等线" w:eastAsia="等线" w:cs="Times New Roman"/>
          <w:sz w:val="15"/>
          <w:szCs w:val="16"/>
        </w:rPr>
      </w:pPr>
      <w:r>
        <w:rPr>
          <w:rFonts w:ascii="等线" w:hAnsi="等线" w:eastAsia="等线" w:cs="Times New Roman"/>
          <w:sz w:val="15"/>
          <w:szCs w:val="16"/>
        </w:rPr>
        <w:t>We started with data integration. Before merging the two datasets, we assigned a binary label to each company — 1 for ST companies and 0 for non-ST ones. To avoid noise from quarterly fluctuations and repeated outlier detection, we first aggregated each company’s 20 quarterly records into a 5-year average at the company level. This greatly simplified our data structure.</w:t>
      </w:r>
    </w:p>
    <w:p w14:paraId="335CABCD">
      <w:pPr>
        <w:spacing w:after="0"/>
        <w:rPr>
          <w:rFonts w:ascii="等线" w:hAnsi="等线" w:eastAsia="等线" w:cs="Times New Roman"/>
          <w:sz w:val="15"/>
          <w:szCs w:val="16"/>
        </w:rPr>
      </w:pPr>
      <w:r>
        <w:rPr>
          <w:rFonts w:ascii="等线" w:hAnsi="等线" w:eastAsia="等线" w:cs="Times New Roman"/>
          <w:sz w:val="15"/>
          <w:szCs w:val="16"/>
        </w:rPr>
        <w:t>Then came data cleaning.</w:t>
      </w:r>
    </w:p>
    <w:p w14:paraId="0537942C">
      <w:pPr>
        <w:numPr>
          <w:ilvl w:val="0"/>
          <w:numId w:val="1"/>
        </w:numPr>
        <w:spacing w:after="0"/>
        <w:rPr>
          <w:rFonts w:ascii="等线" w:hAnsi="等线" w:eastAsia="等线" w:cs="Times New Roman"/>
          <w:sz w:val="15"/>
          <w:szCs w:val="16"/>
        </w:rPr>
      </w:pPr>
      <w:r>
        <w:rPr>
          <w:rFonts w:ascii="等线" w:hAnsi="等线" w:eastAsia="等线" w:cs="Times New Roman"/>
          <w:sz w:val="15"/>
          <w:szCs w:val="16"/>
        </w:rPr>
        <w:t>First, we replaced infinite values with N</w:t>
      </w:r>
      <w:r>
        <w:rPr>
          <w:rFonts w:hint="eastAsia" w:ascii="等线" w:hAnsi="等线" w:eastAsia="等线" w:cs="Times New Roman"/>
          <w:sz w:val="15"/>
          <w:szCs w:val="16"/>
        </w:rPr>
        <w:t>ones</w:t>
      </w:r>
      <w:r>
        <w:rPr>
          <w:rFonts w:ascii="等线" w:hAnsi="等线" w:eastAsia="等线" w:cs="Times New Roman"/>
          <w:sz w:val="15"/>
          <w:szCs w:val="16"/>
        </w:rPr>
        <w:t>, then filled missing values with the mean.</w:t>
      </w:r>
    </w:p>
    <w:p w14:paraId="403C050C">
      <w:pPr>
        <w:numPr>
          <w:ilvl w:val="0"/>
          <w:numId w:val="1"/>
        </w:numPr>
        <w:spacing w:after="0"/>
        <w:rPr>
          <w:rFonts w:ascii="等线" w:hAnsi="等线" w:eastAsia="等线" w:cs="Times New Roman"/>
          <w:sz w:val="15"/>
          <w:szCs w:val="16"/>
        </w:rPr>
      </w:pPr>
      <w:r>
        <w:rPr>
          <w:rFonts w:ascii="等线" w:hAnsi="等线" w:eastAsia="等线" w:cs="Times New Roman"/>
          <w:sz w:val="15"/>
          <w:szCs w:val="16"/>
        </w:rPr>
        <w:t xml:space="preserve">Next, we removed outliers from the non-ST group using the IQR method. This also helped tackle the class imbalance to some extent — reducing non-ST companies from </w:t>
      </w:r>
      <w:r>
        <w:rPr>
          <w:rFonts w:hint="eastAsia" w:ascii="等线" w:hAnsi="等线" w:eastAsia="等线" w:cs="Times New Roman"/>
          <w:sz w:val="15"/>
          <w:szCs w:val="16"/>
        </w:rPr>
        <w:t>about 5000</w:t>
      </w:r>
      <w:r>
        <w:rPr>
          <w:rFonts w:ascii="等线" w:hAnsi="等线" w:eastAsia="等线" w:cs="Times New Roman"/>
          <w:sz w:val="15"/>
          <w:szCs w:val="16"/>
        </w:rPr>
        <w:t xml:space="preserve"> to</w:t>
      </w:r>
      <w:r>
        <w:rPr>
          <w:rFonts w:hint="eastAsia" w:ascii="等线" w:hAnsi="等线" w:eastAsia="等线" w:cs="Times New Roman"/>
          <w:sz w:val="15"/>
          <w:szCs w:val="16"/>
        </w:rPr>
        <w:t xml:space="preserve"> 3000</w:t>
      </w:r>
      <w:r>
        <w:rPr>
          <w:rFonts w:ascii="等线" w:hAnsi="等线" w:eastAsia="等线" w:cs="Times New Roman"/>
          <w:sz w:val="15"/>
          <w:szCs w:val="16"/>
        </w:rPr>
        <w:t>.</w:t>
      </w:r>
    </w:p>
    <w:p w14:paraId="599A6584">
      <w:pPr>
        <w:spacing w:after="0"/>
        <w:ind w:left="360"/>
        <w:rPr>
          <w:rFonts w:ascii="等线" w:hAnsi="等线" w:eastAsia="等线" w:cs="Times New Roman"/>
          <w:sz w:val="15"/>
          <w:szCs w:val="16"/>
        </w:rPr>
      </w:pPr>
      <w:r>
        <w:rPr>
          <w:rFonts w:ascii="等线" w:hAnsi="等线" w:eastAsia="等线" w:cs="Times New Roman"/>
          <w:sz w:val="15"/>
          <w:szCs w:val="16"/>
        </w:rPr>
        <w:t>All these steps were performed on the</w:t>
      </w:r>
      <w:r>
        <w:rPr>
          <w:rFonts w:hint="eastAsia" w:ascii="等线" w:hAnsi="等线" w:eastAsia="等线" w:cs="Times New Roman"/>
          <w:sz w:val="15"/>
          <w:szCs w:val="16"/>
        </w:rPr>
        <w:t xml:space="preserve"> </w:t>
      </w:r>
      <w:r>
        <w:rPr>
          <w:rFonts w:ascii="等线" w:hAnsi="等线" w:eastAsia="等线" w:cs="Times New Roman"/>
          <w:sz w:val="15"/>
          <w:szCs w:val="16"/>
        </w:rPr>
        <w:t>aggregated company-level data.</w:t>
      </w:r>
    </w:p>
    <w:p w14:paraId="13354FB9">
      <w:pPr>
        <w:spacing w:after="0"/>
        <w:rPr>
          <w:rFonts w:ascii="等线" w:hAnsi="等线" w:eastAsia="等线" w:cs="Times New Roman"/>
          <w:sz w:val="15"/>
          <w:szCs w:val="16"/>
        </w:rPr>
      </w:pPr>
      <w:r>
        <w:rPr>
          <w:rFonts w:ascii="等线" w:hAnsi="等线" w:eastAsia="等线" w:cs="Times New Roman"/>
          <w:sz w:val="15"/>
          <w:szCs w:val="16"/>
        </w:rPr>
        <w:t>Despite removing outliers, the class imbalance issue still persisted. To address the small number of ST companies, we used KNN matching. Before that, we standardized the data. Then, for each ST company, we paired it with 3 of the most similar non-ST companies based on financial characteristics. This ensured that any differences observed were more likely due to ST status rather than other unrelated factors. This gave us a dataset of 51 ST and 112 non-ST companies — a total of 163, with a 1:2 class ratio.</w:t>
      </w:r>
    </w:p>
    <w:p w14:paraId="26B3EB34">
      <w:pPr>
        <w:spacing w:after="0"/>
        <w:rPr>
          <w:rFonts w:ascii="等线" w:hAnsi="等线" w:eastAsia="等线" w:cs="Times New Roman"/>
          <w:sz w:val="15"/>
          <w:szCs w:val="16"/>
        </w:rPr>
      </w:pPr>
      <w:r>
        <w:rPr>
          <w:rFonts w:ascii="等线" w:hAnsi="等线" w:eastAsia="等线" w:cs="Times New Roman"/>
          <w:sz w:val="15"/>
          <w:szCs w:val="16"/>
        </w:rPr>
        <w:t>In the final model preparation stage, we pulled the original quarterly data for these 163 companies, applied another round of standardization, and used SMOTE to further improve class balance. The result was a well-balanced dataset. The final file, "Ready to Model.csv", contains the standardized time-series financial features and is ready for use in training machine learning models.</w:t>
      </w:r>
    </w:p>
    <w:p w14:paraId="72538175">
      <w:pPr>
        <w:spacing w:after="0"/>
        <w:rPr>
          <w:rFonts w:hint="eastAsia" w:ascii="等线" w:hAnsi="等线" w:eastAsia="等线" w:cs="Times New Roman"/>
          <w:sz w:val="18"/>
          <w:szCs w:val="20"/>
        </w:rPr>
      </w:pPr>
      <w:r>
        <w:rPr>
          <w:sz w:val="18"/>
          <w:szCs w:val="20"/>
        </w:rPr>
        <w:pict>
          <v:rect id="_x0000_i1026" o:spt="1" style="height:1.5pt;width:0pt;" fillcolor="#A0A0A0" filled="t" stroked="f" coordsize="21600,21600" o:hr="t" o:hrstd="t" o:hralign="center">
            <v:path/>
            <v:fill on="t" focussize="0,0"/>
            <v:stroke on="f"/>
            <v:imagedata o:title=""/>
            <o:lock v:ext="edit"/>
            <w10:wrap type="none"/>
            <w10:anchorlock/>
          </v:rect>
        </w:pict>
      </w:r>
    </w:p>
    <w:p w14:paraId="196DF9E5">
      <w:pPr>
        <w:spacing w:after="0"/>
        <w:jc w:val="both"/>
        <w:rPr>
          <w:rFonts w:hint="eastAsia" w:ascii="等线" w:hAnsi="等线" w:eastAsia="等线" w:cs="Times New Roman"/>
          <w:sz w:val="18"/>
          <w:szCs w:val="20"/>
        </w:rPr>
      </w:pPr>
      <w:r>
        <w:rPr>
          <w:rFonts w:hint="eastAsia" w:ascii="等线" w:hAnsi="等线" w:eastAsia="等线" w:cs="Times New Roman"/>
          <w:sz w:val="18"/>
          <w:szCs w:val="20"/>
        </w:rPr>
        <w:t>Basicllay, w</w:t>
      </w:r>
      <w:r>
        <w:rPr>
          <w:rFonts w:ascii="等线" w:hAnsi="等线" w:eastAsia="等线" w:cs="Times New Roman"/>
          <w:sz w:val="18"/>
          <w:szCs w:val="20"/>
        </w:rPr>
        <w:t>e chose four models for this task:</w:t>
      </w:r>
    </w:p>
    <w:p w14:paraId="30D46397">
      <w:pPr>
        <w:spacing w:after="0"/>
        <w:jc w:val="both"/>
        <w:rPr>
          <w:rFonts w:hint="eastAsia" w:ascii="等线" w:hAnsi="等线" w:eastAsia="等线" w:cs="Times New Roman"/>
          <w:sz w:val="18"/>
          <w:szCs w:val="20"/>
        </w:rPr>
      </w:pPr>
      <w:r>
        <w:rPr>
          <w:rFonts w:ascii="等线" w:hAnsi="等线" w:eastAsia="等线" w:cs="Times New Roman"/>
          <w:sz w:val="18"/>
          <w:szCs w:val="20"/>
        </w:rPr>
        <w:t>Logistic Regression</w:t>
      </w:r>
      <w:r>
        <w:rPr>
          <w:rFonts w:hint="eastAsia" w:ascii="等线" w:hAnsi="等线" w:eastAsia="等线" w:cs="Times New Roman"/>
          <w:sz w:val="18"/>
          <w:szCs w:val="20"/>
        </w:rPr>
        <w:t>、</w:t>
      </w:r>
      <w:r>
        <w:rPr>
          <w:rFonts w:ascii="等线" w:hAnsi="等线" w:eastAsia="等线" w:cs="Times New Roman"/>
          <w:sz w:val="18"/>
          <w:szCs w:val="20"/>
        </w:rPr>
        <w:t>SVM</w:t>
      </w:r>
      <w:r>
        <w:rPr>
          <w:rFonts w:hint="eastAsia" w:ascii="等线" w:hAnsi="等线" w:eastAsia="等线" w:cs="Times New Roman"/>
          <w:sz w:val="18"/>
          <w:szCs w:val="20"/>
        </w:rPr>
        <w:t>、</w:t>
      </w:r>
      <w:r>
        <w:rPr>
          <w:rFonts w:ascii="等线" w:hAnsi="等线" w:eastAsia="等线" w:cs="Times New Roman"/>
          <w:sz w:val="18"/>
          <w:szCs w:val="20"/>
        </w:rPr>
        <w:t>Random Forest</w:t>
      </w:r>
      <w:r>
        <w:rPr>
          <w:rFonts w:hint="eastAsia" w:ascii="等线" w:hAnsi="等线" w:eastAsia="等线" w:cs="Times New Roman"/>
          <w:sz w:val="18"/>
          <w:szCs w:val="20"/>
        </w:rPr>
        <w:t>、</w:t>
      </w:r>
      <w:r>
        <w:rPr>
          <w:rFonts w:ascii="等线" w:hAnsi="等线" w:eastAsia="等线" w:cs="Times New Roman"/>
          <w:sz w:val="18"/>
          <w:szCs w:val="20"/>
        </w:rPr>
        <w:t>XGBoost</w:t>
      </w:r>
      <w:r>
        <w:rPr>
          <w:rFonts w:hint="eastAsia" w:ascii="等线" w:hAnsi="等线" w:eastAsia="等线" w:cs="Times New Roman"/>
          <w:sz w:val="18"/>
          <w:szCs w:val="20"/>
        </w:rPr>
        <w:t>.</w:t>
      </w:r>
    </w:p>
    <w:p w14:paraId="3CCE8206">
      <w:pPr>
        <w:spacing w:after="0"/>
        <w:jc w:val="both"/>
        <w:rPr>
          <w:rFonts w:hint="eastAsia" w:ascii="等线" w:hAnsi="等线" w:eastAsia="等线" w:cs="Times New Roman"/>
          <w:sz w:val="18"/>
          <w:szCs w:val="20"/>
        </w:rPr>
      </w:pPr>
      <w:r>
        <w:rPr>
          <w:rFonts w:ascii="等线" w:hAnsi="等线" w:eastAsia="等线" w:cs="Times New Roman"/>
          <w:sz w:val="18"/>
          <w:szCs w:val="20"/>
        </w:rPr>
        <w:t>By comparing these models, we aim to balance interpretability and performance for our task.</w:t>
      </w:r>
    </w:p>
    <w:p w14:paraId="42795196">
      <w:pPr>
        <w:spacing w:after="0"/>
        <w:jc w:val="both"/>
        <w:rPr>
          <w:rFonts w:hint="eastAsia" w:ascii="等线" w:hAnsi="等线" w:eastAsia="等线" w:cs="Times New Roman"/>
          <w:sz w:val="18"/>
          <w:szCs w:val="20"/>
        </w:rPr>
      </w:pPr>
      <w:r>
        <w:rPr>
          <w:rFonts w:ascii="等线" w:hAnsi="等线" w:eastAsia="等线" w:cs="Times New Roman"/>
          <w:sz w:val="18"/>
          <w:szCs w:val="20"/>
        </w:rPr>
        <w:t>Finally, we split the data into 80% training and 20% testing for fair evaluation.</w:t>
      </w:r>
    </w:p>
    <w:p w14:paraId="6643CDBF">
      <w:pPr>
        <w:spacing w:after="0"/>
        <w:jc w:val="both"/>
        <w:rPr>
          <w:rFonts w:hint="eastAsia" w:ascii="等线" w:hAnsi="等线" w:eastAsia="等线" w:cs="Times New Roman"/>
          <w:sz w:val="18"/>
          <w:szCs w:val="20"/>
        </w:rPr>
      </w:pPr>
      <w:r>
        <w:rPr>
          <w:rFonts w:ascii="等线" w:hAnsi="等线" w:eastAsia="等线" w:cs="Times New Roman"/>
          <w:sz w:val="18"/>
          <w:szCs w:val="20"/>
        </w:rPr>
        <w:t>For tuning hyperparameters, we used Grid Search. This method automatically tests different parameter combinations and selects the best one, saving time and improving performance.</w:t>
      </w:r>
    </w:p>
    <w:p w14:paraId="726016CF">
      <w:pPr>
        <w:spacing w:after="0"/>
        <w:jc w:val="both"/>
        <w:rPr>
          <w:rFonts w:hint="eastAsia" w:ascii="等线" w:hAnsi="等线" w:eastAsia="等线" w:cs="Times New Roman"/>
          <w:sz w:val="18"/>
          <w:szCs w:val="20"/>
        </w:rPr>
      </w:pPr>
      <w:r>
        <w:rPr>
          <w:rFonts w:hint="eastAsia" w:ascii="等线" w:hAnsi="等线" w:eastAsia="等线" w:cs="Times New Roman"/>
          <w:sz w:val="18"/>
          <w:szCs w:val="20"/>
        </w:rPr>
        <w:t>A</w:t>
      </w:r>
      <w:r>
        <w:rPr>
          <w:rFonts w:ascii="等线" w:hAnsi="等线" w:eastAsia="等线" w:cs="Times New Roman"/>
          <w:sz w:val="18"/>
          <w:szCs w:val="20"/>
        </w:rPr>
        <w:t>fter training, we analyzed feature importance to understand which financial indicators matter most. This helps explain the model’s decisions and guides future improvements.</w:t>
      </w:r>
    </w:p>
    <w:p w14:paraId="6B580AD1">
      <w:pPr>
        <w:spacing w:after="0"/>
        <w:jc w:val="both"/>
        <w:rPr>
          <w:rFonts w:ascii="等线" w:hAnsi="等线" w:eastAsia="等线" w:cs="Times New Roman"/>
          <w:sz w:val="18"/>
          <w:szCs w:val="20"/>
        </w:rPr>
      </w:pPr>
      <w:r>
        <w:rPr>
          <w:rFonts w:ascii="等线" w:hAnsi="等线" w:eastAsia="等线" w:cs="Times New Roman"/>
          <w:sz w:val="18"/>
          <w:szCs w:val="20"/>
        </w:rPr>
        <w:t>We evaluated models using five metrics:</w:t>
      </w:r>
    </w:p>
    <w:p w14:paraId="332899B9">
      <w:pPr>
        <w:spacing w:after="0"/>
        <w:jc w:val="both"/>
        <w:rPr>
          <w:rFonts w:hint="eastAsia" w:ascii="等线" w:hAnsi="等线" w:eastAsia="等线" w:cs="Times New Roman"/>
          <w:sz w:val="18"/>
          <w:szCs w:val="20"/>
        </w:rPr>
      </w:pPr>
      <w:r>
        <w:rPr>
          <w:rFonts w:ascii="等线" w:hAnsi="等线" w:eastAsia="等线" w:cs="Times New Roman"/>
          <w:sz w:val="18"/>
          <w:szCs w:val="20"/>
        </w:rPr>
        <w:t>Accuracy</w:t>
      </w:r>
      <w:r>
        <w:rPr>
          <w:rFonts w:hint="eastAsia" w:ascii="等线" w:hAnsi="等线" w:eastAsia="等线" w:cs="Times New Roman"/>
          <w:sz w:val="18"/>
          <w:szCs w:val="20"/>
        </w:rPr>
        <w:t>,</w:t>
      </w:r>
      <w:r>
        <w:rPr>
          <w:rFonts w:ascii="等线" w:hAnsi="等线" w:eastAsia="等线" w:cs="Times New Roman"/>
          <w:sz w:val="18"/>
          <w:szCs w:val="20"/>
        </w:rPr>
        <w:t>Precision</w:t>
      </w:r>
      <w:r>
        <w:rPr>
          <w:rFonts w:hint="eastAsia" w:ascii="等线" w:hAnsi="等线" w:eastAsia="等线" w:cs="Times New Roman"/>
          <w:sz w:val="18"/>
          <w:szCs w:val="20"/>
        </w:rPr>
        <w:t>,</w:t>
      </w:r>
      <w:r>
        <w:rPr>
          <w:rFonts w:ascii="等线" w:hAnsi="等线" w:eastAsia="等线" w:cs="Times New Roman"/>
          <w:sz w:val="18"/>
          <w:szCs w:val="20"/>
        </w:rPr>
        <w:t>Recall</w:t>
      </w:r>
      <w:r>
        <w:rPr>
          <w:rFonts w:hint="eastAsia" w:ascii="等线" w:hAnsi="等线" w:eastAsia="等线" w:cs="Times New Roman"/>
          <w:sz w:val="18"/>
          <w:szCs w:val="20"/>
        </w:rPr>
        <w:t>,</w:t>
      </w:r>
      <w:r>
        <w:rPr>
          <w:rFonts w:ascii="等线" w:hAnsi="等线" w:eastAsia="等线" w:cs="Times New Roman"/>
          <w:sz w:val="18"/>
          <w:szCs w:val="20"/>
        </w:rPr>
        <w:t>F1-score</w:t>
      </w:r>
      <w:r>
        <w:rPr>
          <w:rFonts w:hint="eastAsia" w:ascii="等线" w:hAnsi="等线" w:eastAsia="等线" w:cs="Times New Roman"/>
          <w:sz w:val="18"/>
          <w:szCs w:val="20"/>
        </w:rPr>
        <w:t>,</w:t>
      </w:r>
      <w:r>
        <w:rPr>
          <w:rFonts w:ascii="等线" w:hAnsi="等线" w:eastAsia="等线" w:cs="Times New Roman"/>
          <w:sz w:val="18"/>
          <w:szCs w:val="20"/>
        </w:rPr>
        <w:t>AUC</w:t>
      </w:r>
    </w:p>
    <w:p w14:paraId="379E2A38">
      <w:pPr>
        <w:spacing w:after="0"/>
        <w:jc w:val="both"/>
        <w:rPr>
          <w:rFonts w:ascii="等线" w:hAnsi="等线" w:eastAsia="等线" w:cs="Times New Roman"/>
          <w:sz w:val="18"/>
          <w:szCs w:val="20"/>
        </w:rPr>
      </w:pPr>
      <w:r>
        <w:rPr>
          <w:rFonts w:ascii="等线" w:hAnsi="等线" w:eastAsia="等线" w:cs="Times New Roman"/>
          <w:sz w:val="18"/>
          <w:szCs w:val="20"/>
        </w:rPr>
        <w:t>These metrics, based on the confusion matrix, show how well the model performs overall and specifically on ST companies.</w:t>
      </w:r>
    </w:p>
    <w:p w14:paraId="49C68248">
      <w:pPr>
        <w:spacing w:after="0"/>
        <w:jc w:val="both"/>
        <w:rPr>
          <w:rFonts w:ascii="等线" w:hAnsi="等线" w:eastAsia="等线" w:cs="Times New Roman"/>
          <w:sz w:val="18"/>
          <w:szCs w:val="20"/>
        </w:rPr>
      </w:pPr>
      <w:r>
        <w:rPr>
          <w:rFonts w:ascii="等线" w:hAnsi="等线" w:eastAsia="等线" w:cs="Times New Roman"/>
          <w:sz w:val="18"/>
          <w:szCs w:val="20"/>
        </w:rPr>
        <w:t>Through this process, we identified the best model for our data and business needs.</w:t>
      </w:r>
    </w:p>
    <w:p w14:paraId="28170573">
      <w:pPr>
        <w:spacing w:after="0"/>
        <w:rPr>
          <w:rFonts w:hint="eastAsia" w:ascii="等线" w:hAnsi="等线" w:eastAsia="等线" w:cs="Times New Roman"/>
          <w:sz w:val="18"/>
          <w:szCs w:val="20"/>
        </w:rPr>
      </w:pPr>
      <w:r>
        <w:rPr>
          <w:sz w:val="18"/>
          <w:szCs w:val="20"/>
        </w:rPr>
        <w:pict>
          <v:rect id="_x0000_i1027" o:spt="1" style="height:1.5pt;width:0pt;" fillcolor="#A0A0A0" filled="t" stroked="f" coordsize="21600,21600" o:hr="t" o:hrstd="t" o:hralign="center">
            <v:path/>
            <v:fill on="t" focussize="0,0"/>
            <v:stroke on="f"/>
            <v:imagedata o:title=""/>
            <o:lock v:ext="edit"/>
            <w10:wrap type="none"/>
            <w10:anchorlock/>
          </v:rect>
        </w:pict>
      </w:r>
    </w:p>
    <w:p w14:paraId="7EF50636">
      <w:pPr>
        <w:spacing w:after="0"/>
        <w:rPr>
          <w:rFonts w:ascii="等线" w:hAnsi="等线" w:eastAsia="等线" w:cs="Times New Roman"/>
          <w:sz w:val="18"/>
          <w:szCs w:val="20"/>
        </w:rPr>
      </w:pPr>
      <w:r>
        <w:rPr>
          <w:rFonts w:ascii="等线" w:hAnsi="等线" w:eastAsia="等线" w:cs="Times New Roman"/>
          <w:sz w:val="18"/>
          <w:szCs w:val="20"/>
        </w:rPr>
        <w:t>In this study, we evaluated four machine learning models</w:t>
      </w:r>
      <w:r>
        <w:rPr>
          <w:rFonts w:hint="eastAsia" w:ascii="等线" w:hAnsi="等线" w:eastAsia="等线" w:cs="Times New Roman"/>
          <w:sz w:val="18"/>
          <w:szCs w:val="20"/>
        </w:rPr>
        <w:t xml:space="preserve"> </w:t>
      </w:r>
      <w:r>
        <w:rPr>
          <w:rFonts w:ascii="等线" w:hAnsi="等线" w:eastAsia="等线" w:cs="Times New Roman"/>
          <w:sz w:val="18"/>
          <w:szCs w:val="20"/>
        </w:rPr>
        <w:t>for financial risk prediction.</w:t>
      </w:r>
    </w:p>
    <w:p w14:paraId="1E073DF5">
      <w:pPr>
        <w:spacing w:after="0"/>
        <w:rPr>
          <w:rFonts w:hint="eastAsia" w:ascii="等线" w:hAnsi="等线" w:eastAsia="等线" w:cs="Times New Roman"/>
          <w:sz w:val="18"/>
          <w:szCs w:val="20"/>
        </w:rPr>
      </w:pPr>
      <w:r>
        <w:rPr>
          <w:rFonts w:ascii="等线" w:hAnsi="等线" w:eastAsia="等线" w:cs="Times New Roman"/>
          <w:sz w:val="18"/>
          <w:szCs w:val="20"/>
        </w:rPr>
        <w:t>The comparative analysis based on five key indicators shows the following findings:</w:t>
      </w:r>
    </w:p>
    <w:p w14:paraId="41867BD8">
      <w:pPr>
        <w:spacing w:after="0"/>
        <w:rPr>
          <w:rFonts w:hint="eastAsia" w:ascii="等线" w:hAnsi="等线" w:eastAsia="等线" w:cs="Times New Roman"/>
          <w:sz w:val="18"/>
          <w:szCs w:val="20"/>
        </w:rPr>
      </w:pPr>
      <w:r>
        <w:rPr>
          <w:rFonts w:ascii="等线" w:hAnsi="等线" w:eastAsia="等线" w:cs="Times New Roman"/>
          <w:sz w:val="18"/>
          <w:szCs w:val="20"/>
        </w:rPr>
        <w:t xml:space="preserve">In terms of classification performance, XGBoost demonstrated significant advantages, with the highest AUC score reaching 0.975, indicating a stronger overall discrimination ability for ST companies. </w:t>
      </w:r>
      <w:r>
        <w:rPr>
          <w:rFonts w:hint="eastAsia" w:ascii="等线" w:hAnsi="等线" w:eastAsia="等线" w:cs="Times New Roman"/>
          <w:sz w:val="18"/>
          <w:szCs w:val="20"/>
        </w:rPr>
        <w:t>And r</w:t>
      </w:r>
      <w:r>
        <w:rPr>
          <w:rFonts w:ascii="等线" w:hAnsi="等线" w:eastAsia="等线" w:cs="Times New Roman"/>
          <w:sz w:val="18"/>
          <w:szCs w:val="20"/>
        </w:rPr>
        <w:t>andom forest followed closely with an AUC score of 0.974</w:t>
      </w:r>
      <w:r>
        <w:rPr>
          <w:rFonts w:hint="eastAsia" w:ascii="等线" w:hAnsi="等线" w:eastAsia="等线" w:cs="Times New Roman"/>
          <w:sz w:val="18"/>
          <w:szCs w:val="20"/>
        </w:rPr>
        <w:t>.</w:t>
      </w:r>
    </w:p>
    <w:p w14:paraId="33B1170D">
      <w:pPr>
        <w:spacing w:after="0"/>
        <w:rPr>
          <w:rFonts w:hint="eastAsia" w:ascii="等线" w:hAnsi="等线" w:eastAsia="等线" w:cs="Times New Roman"/>
          <w:sz w:val="18"/>
          <w:szCs w:val="20"/>
        </w:rPr>
      </w:pPr>
      <w:r>
        <w:rPr>
          <w:rFonts w:ascii="等线" w:hAnsi="等线" w:eastAsia="等线" w:cs="Times New Roman"/>
          <w:sz w:val="18"/>
          <w:szCs w:val="20"/>
        </w:rPr>
        <w:t>Regarding model balance, although the F1 value of XGBoost is 0.912, only 0.01 lower than that of the random forest, it also shows the best balance between accuracy and recall rate. It is worth noting that after parameter optimization, the recall rate of XGBoost can be increased to 0.91</w:t>
      </w:r>
      <w:r>
        <w:rPr>
          <w:rFonts w:hint="eastAsia" w:ascii="等线" w:hAnsi="等线" w:eastAsia="等线" w:cs="Times New Roman"/>
          <w:sz w:val="18"/>
          <w:szCs w:val="20"/>
        </w:rPr>
        <w:t>.</w:t>
      </w:r>
    </w:p>
    <w:p w14:paraId="1BBA148D">
      <w:pPr>
        <w:spacing w:after="0"/>
        <w:rPr>
          <w:rFonts w:hint="eastAsia" w:ascii="等线" w:hAnsi="等线" w:eastAsia="等线" w:cs="Times New Roman"/>
          <w:sz w:val="18"/>
          <w:szCs w:val="20"/>
        </w:rPr>
      </w:pPr>
      <w:r>
        <w:rPr>
          <w:rFonts w:ascii="等线" w:hAnsi="等线" w:eastAsia="等线" w:cs="Times New Roman"/>
          <w:sz w:val="18"/>
          <w:szCs w:val="20"/>
        </w:rPr>
        <w:t>The accuracy indicator also shows that the performance between XGBoost (0.914) and Random forest (0.915) is comparable.</w:t>
      </w:r>
    </w:p>
    <w:p w14:paraId="0AC6173E">
      <w:pPr>
        <w:spacing w:after="0"/>
        <w:rPr>
          <w:rFonts w:hint="eastAsia" w:ascii="等线" w:hAnsi="等线" w:eastAsia="等线" w:cs="Times New Roman"/>
          <w:sz w:val="18"/>
          <w:szCs w:val="20"/>
        </w:rPr>
      </w:pPr>
      <w:r>
        <w:rPr>
          <w:rFonts w:ascii="等线" w:hAnsi="等线" w:eastAsia="等线" w:cs="Times New Roman"/>
          <w:sz w:val="18"/>
          <w:szCs w:val="20"/>
        </w:rPr>
        <w:t>Regarding the importance of features, this is the ranking chart of the importance of features of our four models, and by comparing the top 3 features of each model</w:t>
      </w:r>
      <w:r>
        <w:rPr>
          <w:rFonts w:hint="eastAsia" w:ascii="等线" w:hAnsi="等线" w:eastAsia="等线" w:cs="Times New Roman"/>
          <w:sz w:val="18"/>
          <w:szCs w:val="20"/>
        </w:rPr>
        <w:t>,</w:t>
      </w:r>
      <w:r>
        <w:rPr>
          <w:rFonts w:ascii="等线" w:hAnsi="等线" w:eastAsia="等线" w:cs="Times New Roman"/>
          <w:sz w:val="18"/>
          <w:szCs w:val="20"/>
        </w:rPr>
        <w:t xml:space="preserve"> the feature with the highest cross-model consistency is </w:t>
      </w:r>
      <w:r>
        <w:rPr>
          <w:rFonts w:hint="eastAsia" w:ascii="等线" w:hAnsi="等线" w:eastAsia="等线" w:cs="Times New Roman"/>
          <w:sz w:val="18"/>
          <w:szCs w:val="20"/>
        </w:rPr>
        <w:t>Net Profit Growth Rate</w:t>
      </w:r>
      <w:r>
        <w:rPr>
          <w:rFonts w:ascii="等线" w:hAnsi="等线" w:eastAsia="等线" w:cs="Times New Roman"/>
          <w:sz w:val="18"/>
          <w:szCs w:val="20"/>
        </w:rPr>
        <w:t xml:space="preserve">, which ranks first among all models, indicating that the deterioration of enterprise profitability is the strongest warning signal. The second one is </w:t>
      </w:r>
      <w:r>
        <w:rPr>
          <w:rFonts w:hint="eastAsia" w:ascii="等线" w:hAnsi="等线" w:eastAsia="等线" w:cs="Times New Roman"/>
          <w:sz w:val="18"/>
          <w:szCs w:val="20"/>
        </w:rPr>
        <w:t>Net Profit to Sales</w:t>
      </w:r>
    </w:p>
    <w:p w14:paraId="10D259A8">
      <w:pPr>
        <w:spacing w:after="0"/>
        <w:rPr>
          <w:rFonts w:ascii="等线" w:hAnsi="等线" w:eastAsia="等线" w:cs="Times New Roman"/>
          <w:sz w:val="18"/>
          <w:szCs w:val="20"/>
        </w:rPr>
      </w:pPr>
      <w:r>
        <w:rPr>
          <w:rFonts w:hint="eastAsia" w:ascii="等线" w:hAnsi="等线" w:eastAsia="等线" w:cs="Times New Roman"/>
          <w:sz w:val="18"/>
          <w:szCs w:val="20"/>
        </w:rPr>
        <w:t>Revenue</w:t>
      </w:r>
      <w:r>
        <w:rPr>
          <w:rFonts w:ascii="等线" w:hAnsi="等线" w:eastAsia="等线" w:cs="Times New Roman"/>
          <w:sz w:val="18"/>
          <w:szCs w:val="20"/>
        </w:rPr>
        <w:t xml:space="preserve">, which ranks third with </w:t>
      </w:r>
      <w:r>
        <w:rPr>
          <w:rFonts w:hint="eastAsia" w:ascii="等线" w:hAnsi="等线" w:eastAsia="等线" w:cs="Times New Roman"/>
          <w:sz w:val="18"/>
          <w:szCs w:val="20"/>
        </w:rPr>
        <w:t>Current Assets to Current Liabilities</w:t>
      </w:r>
      <w:r>
        <w:rPr>
          <w:rFonts w:ascii="等线" w:hAnsi="等线" w:eastAsia="等线" w:cs="Times New Roman"/>
          <w:sz w:val="18"/>
          <w:szCs w:val="20"/>
        </w:rPr>
        <w:t>.</w:t>
      </w:r>
    </w:p>
    <w:p w14:paraId="4145D600">
      <w:pPr>
        <w:spacing w:after="0"/>
        <w:rPr>
          <w:rFonts w:ascii="等线" w:hAnsi="等线" w:eastAsia="等线" w:cs="Times New Roman"/>
          <w:sz w:val="18"/>
          <w:szCs w:val="20"/>
        </w:rPr>
      </w:pPr>
    </w:p>
    <w:p w14:paraId="70C630C9">
      <w:pPr>
        <w:spacing w:after="0"/>
        <w:rPr>
          <w:rFonts w:ascii="等线" w:hAnsi="等线" w:eastAsia="等线" w:cs="Times New Roman"/>
          <w:sz w:val="18"/>
          <w:szCs w:val="20"/>
        </w:rPr>
      </w:pPr>
      <w:r>
        <w:rPr>
          <w:rFonts w:ascii="等线" w:hAnsi="等线" w:eastAsia="等线" w:cs="Times New Roman"/>
          <w:sz w:val="18"/>
          <w:szCs w:val="20"/>
        </w:rPr>
        <w:t xml:space="preserve">Overall, taking all indicators into comprehensive consideration, XGBoost outperforms others with superior </w:t>
      </w:r>
      <w:r>
        <w:rPr>
          <w:rFonts w:hint="eastAsia" w:ascii="等线" w:hAnsi="等线" w:eastAsia="等线" w:cs="Times New Roman"/>
          <w:sz w:val="18"/>
          <w:szCs w:val="20"/>
        </w:rPr>
        <w:t xml:space="preserve">Accuracy </w:t>
      </w:r>
      <w:r>
        <w:rPr>
          <w:rFonts w:ascii="等线" w:hAnsi="等线" w:eastAsia="等线" w:cs="Times New Roman"/>
          <w:sz w:val="18"/>
          <w:szCs w:val="20"/>
        </w:rPr>
        <w:t>AUC (0.975), balanced F1 (0.912), flexibl</w:t>
      </w:r>
      <w:r>
        <w:rPr>
          <w:rFonts w:hint="eastAsia" w:ascii="等线" w:hAnsi="等线" w:eastAsia="等线" w:cs="Times New Roman"/>
          <w:sz w:val="18"/>
          <w:szCs w:val="20"/>
        </w:rPr>
        <w:t xml:space="preserve">e </w:t>
      </w:r>
      <w:r>
        <w:rPr>
          <w:rFonts w:ascii="等线" w:hAnsi="等线" w:eastAsia="等线" w:cs="Times New Roman"/>
          <w:sz w:val="18"/>
          <w:szCs w:val="20"/>
        </w:rPr>
        <w:t xml:space="preserve">recall (0.91), and clear feature explanations like </w:t>
      </w:r>
      <w:r>
        <w:rPr>
          <w:rFonts w:hint="eastAsia" w:ascii="等线" w:hAnsi="等线" w:eastAsia="等线" w:cs="Times New Roman"/>
          <w:sz w:val="18"/>
          <w:szCs w:val="20"/>
        </w:rPr>
        <w:t>Net Profit Growth Rate</w:t>
      </w:r>
      <w:r>
        <w:rPr>
          <w:rFonts w:ascii="等线" w:hAnsi="等线" w:eastAsia="等线" w:cs="Times New Roman"/>
          <w:sz w:val="18"/>
          <w:szCs w:val="20"/>
        </w:rPr>
        <w:t xml:space="preserve"> 's dominant role, achieving optimal accuracy-interpretability balance.</w:t>
      </w:r>
    </w:p>
    <w:p w14:paraId="350A6290">
      <w:pPr>
        <w:spacing w:after="0"/>
        <w:rPr>
          <w:rFonts w:ascii="等线" w:hAnsi="等线" w:eastAsia="等线" w:cs="Times New Roman"/>
          <w:sz w:val="18"/>
          <w:szCs w:val="20"/>
        </w:rPr>
      </w:pPr>
    </w:p>
    <w:p w14:paraId="5FA19558">
      <w:pPr>
        <w:spacing w:after="0"/>
        <w:rPr>
          <w:rFonts w:ascii="等线" w:hAnsi="等线" w:eastAsia="等线" w:cs="Times New Roman"/>
          <w:sz w:val="18"/>
          <w:szCs w:val="20"/>
        </w:rPr>
      </w:pPr>
      <w:r>
        <w:rPr>
          <w:rFonts w:ascii="等线" w:hAnsi="等线" w:eastAsia="等线" w:cs="Times New Roman"/>
          <w:sz w:val="18"/>
          <w:szCs w:val="20"/>
        </w:rPr>
        <w:t>To sum up, through data processing and model comparison, we have established an artificial intelligence-driven early warning system, significantly improving the prediction accuracy of ST Company .</w:t>
      </w:r>
    </w:p>
    <w:p w14:paraId="54EB3958">
      <w:pPr>
        <w:spacing w:after="0"/>
        <w:rPr>
          <w:rFonts w:ascii="等线" w:hAnsi="等线" w:eastAsia="等线" w:cs="Times New Roman"/>
          <w:sz w:val="18"/>
          <w:szCs w:val="20"/>
        </w:rPr>
      </w:pPr>
      <w:r>
        <w:rPr>
          <w:rFonts w:ascii="等线" w:hAnsi="等线" w:eastAsia="等线" w:cs="Times New Roman"/>
          <w:sz w:val="18"/>
          <w:szCs w:val="20"/>
        </w:rPr>
        <w:t>This study advanced the prediction of financial distress by demonstrating the outstanding performance of XGBoost while maintaining interpretability. By identifying key indicators, especially profit trends, it can help stakeholders reduce risks and provide new ideas for financial risk management. Future work can enhance the adaptability of the model and incorporate non-financial factors to achieve more accurate predictions.</w:t>
      </w:r>
    </w:p>
    <w:p w14:paraId="0E80D195">
      <w:pPr>
        <w:rPr>
          <w:rFonts w:hint="eastAsia" w:ascii="等线" w:hAnsi="等线" w:eastAsia="等线" w:cs="Times New Roman"/>
          <w:sz w:val="18"/>
          <w:szCs w:val="20"/>
        </w:rPr>
      </w:pPr>
    </w:p>
    <w:p w14:paraId="6AFBA9EF">
      <w:pPr>
        <w:rPr>
          <w:rFonts w:hint="eastAsia" w:ascii="等线" w:hAnsi="等线" w:eastAsia="等线" w:cs="Times New Roman"/>
          <w:sz w:val="18"/>
          <w:szCs w:val="20"/>
        </w:rPr>
      </w:pPr>
    </w:p>
    <w:p w14:paraId="7D3F862E">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EC75DD"/>
    <w:multiLevelType w:val="multilevel"/>
    <w:tmpl w:val="3CEC75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F23"/>
    <w:rsid w:val="00031140"/>
    <w:rsid w:val="0005568D"/>
    <w:rsid w:val="000A199E"/>
    <w:rsid w:val="001E109F"/>
    <w:rsid w:val="002C10C3"/>
    <w:rsid w:val="00311B80"/>
    <w:rsid w:val="004F3D9A"/>
    <w:rsid w:val="00562D86"/>
    <w:rsid w:val="00670789"/>
    <w:rsid w:val="0069689B"/>
    <w:rsid w:val="006E5EF9"/>
    <w:rsid w:val="007737E6"/>
    <w:rsid w:val="00865F23"/>
    <w:rsid w:val="00A05F98"/>
    <w:rsid w:val="00A5015C"/>
    <w:rsid w:val="00A97F44"/>
    <w:rsid w:val="00B463EC"/>
    <w:rsid w:val="00C3524B"/>
    <w:rsid w:val="00C445C0"/>
    <w:rsid w:val="00D20B7B"/>
    <w:rsid w:val="00D34B53"/>
    <w:rsid w:val="00DE4F1E"/>
    <w:rsid w:val="00E43A22"/>
    <w:rsid w:val="00E50DC9"/>
    <w:rsid w:val="00E76F7E"/>
    <w:rsid w:val="00E9494E"/>
    <w:rsid w:val="00ED73EA"/>
    <w:rsid w:val="00F91210"/>
    <w:rsid w:val="00F976F0"/>
    <w:rsid w:val="2757B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1062</Words>
  <Characters>6145</Characters>
  <Lines>166</Lines>
  <Paragraphs>88</Paragraphs>
  <TotalTime>184</TotalTime>
  <ScaleCrop>false</ScaleCrop>
  <LinksUpToDate>false</LinksUpToDate>
  <CharactersWithSpaces>7119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2025-05-02T14:33:00Z</dcterms:created>
  <dc:creator>0 0</dc:creator>
  <cp:lastModifiedBy>果果</cp:lastModifiedBy>
  <dcterms:modified xsi:type="dcterms:W3CDTF">2025-05-19T22:56:24Z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A56027414885935B98462B68A6B004B9_42</vt:lpwstr>
  </property>
</Properties>
</file>