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pPr>
        <w:spacing w:line="360" w:lineRule="auto" w:before="0" w:after="0"/>
        <w:jc w:val="left"/>
      </w:pPr>
      <w:r>
        <w:rPr>
          <w:rFonts w:ascii="Times New Roman" w:hAnsi="Times New Roman" w:eastAsia="Times New Roman"/>
          <w:b/>
          <w:i w:val="0"/>
          <w:sz w:val="28"/>
        </w:rPr>
        <w:t>3. Research Design and Methodology</w:t>
      </w:r>
    </w:p>
    <w:p>
      <w:pPr>
        <w:spacing w:line="360" w:lineRule="auto" w:before="0" w:after="0"/>
        <w:jc w:val="left"/>
      </w:pPr>
      <w:r>
        <w:rPr>
          <w:rFonts w:ascii="Times New Roman" w:hAnsi="Times New Roman" w:eastAsia="Times New Roman"/>
          <w:b/>
          <w:i w:val="0"/>
          <w:sz w:val="24"/>
        </w:rPr>
        <w:t>3.1 Research Design</w:t>
      </w:r>
    </w:p>
    <w:p>
      <w:pPr>
        <w:spacing w:line="360" w:lineRule="auto" w:before="0" w:after="0"/>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baseline empirical specification is: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alpha + beta1 [AIExposureZ(i) x Post(t)] + mu(i) + lambda(t)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(mu(i)) control for time-invariant fund characteristics, while time fixed effects (lambda(t)) absorb common monthly shocks affecting all funds.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improve estimation reliability, the baseline model further includes lagged control variables: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alpha + beta1 [AIExposureZ(i) x Post(t)] + gamma X(i,t-1) + mu(i) + lambda(t)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X(i,t-1) includes lagged log assets under management, lagged fund return, and lagged fund flow.</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pPr>
        <w:spacing w:line="360" w:lineRule="auto" w:before="0" w:after="0"/>
        <w:jc w:val="left"/>
      </w:pPr>
    </w:p>
    <w:p>
      <w:pPr>
        <w:spacing w:line="360" w:lineRule="auto" w:before="0" w:after="0"/>
        <w:jc w:val="left"/>
      </w:pPr>
      <w:r>
        <w:rPr>
          <w:rFonts w:ascii="Times New Roman" w:hAnsi="Times New Roman" w:eastAsia="Times New Roman"/>
          <w:b/>
          <w:i w:val="0"/>
          <w:sz w:val="24"/>
        </w:rPr>
        <w:t>3.2 Data Sources</w:t>
      </w:r>
    </w:p>
    <w:p>
      <w:pPr>
        <w:spacing w:line="360" w:lineRule="auto" w:before="0" w:after="0"/>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first dataset is the AI exposure dataset, obtained from the file ai_exposure_larger100.csv. The raw dataset contains 14,430 fund-year observations covering 2,405 unique mutual funds from 2020 to 2025. The key variable in this dataset is avg_of_avg_percent_tna, which is renamed as AI_exposure. This variable measures the percentage of fund holdings invested in AI-related firms.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pPr>
        <w:spacing w:line="360" w:lineRule="auto" w:before="0" w:after="0"/>
        <w:jc w:val="left"/>
      </w:pPr>
    </w:p>
    <w:p>
      <w:pPr>
        <w:spacing w:line="360" w:lineRule="auto" w:before="0" w:after="0"/>
        <w:jc w:val="left"/>
        <w:numPr>
          <w:ilvl w:val="0"/>
          <w:numId w:val="2"/>
        </w:numPr>
      </w:pPr>
      <w:r>
        <w:rPr>
          <w:rFonts w:ascii="Times New Roman" w:hAnsi="Times New Roman" w:eastAsia="Times New Roman"/>
          <w:b w:val="0"/>
          <w:i w:val="0"/>
          <w:sz w:val="24"/>
        </w:rPr>
        <w:t>crsp_fundno</w:t>
      </w:r>
    </w:p>
    <w:p>
      <w:pPr>
        <w:spacing w:line="360" w:lineRule="auto" w:before="0" w:after="0"/>
        <w:jc w:val="left"/>
        <w:numPr>
          <w:ilvl w:val="0"/>
          <w:numId w:val="2"/>
        </w:numPr>
      </w:pPr>
      <w:r>
        <w:rPr>
          <w:rFonts w:ascii="Times New Roman" w:hAnsi="Times New Roman" w:eastAsia="Times New Roman"/>
          <w:b w:val="0"/>
          <w:i w:val="0"/>
          <w:sz w:val="24"/>
        </w:rPr>
        <w:t>caldt</w:t>
      </w:r>
    </w:p>
    <w:p>
      <w:pPr>
        <w:spacing w:line="360" w:lineRule="auto" w:before="0" w:after="0"/>
        <w:jc w:val="left"/>
        <w:numPr>
          <w:ilvl w:val="0"/>
          <w:numId w:val="2"/>
        </w:numPr>
      </w:pPr>
      <w:r>
        <w:rPr>
          <w:rFonts w:ascii="Times New Roman" w:hAnsi="Times New Roman" w:eastAsia="Times New Roman"/>
          <w:b w:val="0"/>
          <w:i w:val="0"/>
          <w:sz w:val="24"/>
        </w:rPr>
        <w:t>mtna</w:t>
      </w:r>
    </w:p>
    <w:p>
      <w:pPr>
        <w:spacing w:line="360" w:lineRule="auto" w:before="0" w:after="0"/>
        <w:jc w:val="left"/>
        <w:numPr>
          <w:ilvl w:val="0"/>
          <w:numId w:val="2"/>
        </w:numPr>
      </w:pPr>
      <w:r>
        <w:rPr>
          <w:rFonts w:ascii="Times New Roman" w:hAnsi="Times New Roman" w:eastAsia="Times New Roman"/>
          <w:b w:val="0"/>
          <w:i w:val="0"/>
          <w:sz w:val="24"/>
        </w:rPr>
        <w:t>mret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pPr>
        <w:spacing w:line="360" w:lineRule="auto" w:before="0" w:after="0"/>
        <w:jc w:val="left"/>
      </w:pPr>
    </w:p>
    <w:p>
      <w:pPr>
        <w:spacing w:line="360" w:lineRule="auto" w:before="0" w:after="0"/>
        <w:jc w:val="left"/>
      </w:pPr>
      <w:r>
        <w:rPr>
          <w:rFonts w:ascii="Times New Roman" w:hAnsi="Times New Roman" w:eastAsia="Times New Roman"/>
          <w:b/>
          <w:i w:val="0"/>
          <w:sz w:val="24"/>
        </w:rPr>
        <w:t>3.3 Sample Construction</w:t>
      </w:r>
    </w:p>
    <w:p>
      <w:pPr>
        <w:spacing w:line="360" w:lineRule="auto" w:before="0" w:after="0"/>
        <w:jc w:val="left"/>
      </w:pPr>
      <w:r>
        <w:rPr>
          <w:rFonts w:ascii="Times New Roman" w:hAnsi="Times New Roman" w:eastAsia="Times New Roman"/>
          <w:b w:val="0"/>
          <w:i w:val="0"/>
          <w:sz w:val="24"/>
        </w:rPr>
        <w:t>The sample construction process proceeds in several stages.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First, pre-shock AI exposure is constructed by averaging fund-level AI exposure between 2020 and 2022:</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AIExposurePre(i) = (1 / N(i)) x sum from y = 2020 to 2022 of AIExposure(i,y)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N(i)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Second, the continuous treatment variable is standardized: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AIExposureZ(i) = [AIExposurePre(i) - mean(AIExposurePre)] / SD(AIExposurePre)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Third, the CRSP monthly mutual fund dataset is cleaned and merged with the AI exposure sample. Fund flow is calculated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[MTNA(i,t) - MTNA(i,t-1) x (1 + R(i,t))] / MTNA(i,t-1)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MTNA(i,t) denotes total net assets and R(i,t) represents monthly fund return.</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flow_w.</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post-treatment indicator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Post(t) = 1 if caldt &gt;= 2022-12-01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main treatment interaction is therefore:</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 post(i,t) = AIExposureZ(i) x Post(t)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pPr>
        <w:spacing w:line="360" w:lineRule="auto" w:before="0" w:after="0"/>
        <w:jc w:val="left"/>
      </w:pPr>
    </w:p>
    <w:p>
      <w:pPr>
        <w:spacing w:line="360" w:lineRule="auto" w:before="0" w:after="0"/>
        <w:jc w:val="left"/>
      </w:pPr>
      <w:r>
        <w:rPr>
          <w:rFonts w:ascii="Times New Roman" w:hAnsi="Times New Roman" w:eastAsia="Times New Roman"/>
          <w:b/>
          <w:i w:val="0"/>
          <w:sz w:val="24"/>
        </w:rPr>
        <w:t>3.4 Variable Construction</w:t>
      </w:r>
    </w:p>
    <w:p>
      <w:pPr>
        <w:spacing w:line="360" w:lineRule="auto" w:before="0" w:after="0"/>
        <w:jc w:val="left"/>
      </w:pPr>
      <w:r>
        <w:rPr>
          <w:rFonts w:ascii="Times New Roman" w:hAnsi="Times New Roman" w:eastAsia="Times New Roman"/>
          <w:b/>
          <w:i w:val="0"/>
          <w:sz w:val="24"/>
        </w:rPr>
        <w:t>3.4.1 Dependent Variable: Fund Flow</w:t>
      </w:r>
    </w:p>
    <w:p>
      <w:pPr>
        <w:spacing w:line="360" w:lineRule="auto" w:before="0" w:after="0"/>
        <w:jc w:val="left"/>
      </w:pPr>
      <w:r>
        <w:rPr>
          <w:rFonts w:ascii="Times New Roman" w:hAnsi="Times New Roman" w:eastAsia="Times New Roman"/>
          <w:b w:val="0"/>
          <w:i w:val="0"/>
          <w:sz w:val="24"/>
        </w:rPr>
        <w:t>The primary dependent variable for H1 and H2 is the winsorized mutual fund flow variable (flow_w). Fund flow measures net investor capital movement after adjusting for asset growth caused by fund returns.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pPr>
        <w:spacing w:line="360" w:lineRule="auto" w:before="0" w:after="0"/>
        <w:jc w:val="left"/>
      </w:pPr>
    </w:p>
    <w:p>
      <w:pPr>
        <w:spacing w:line="360" w:lineRule="auto" w:before="0" w:after="0"/>
        <w:jc w:val="left"/>
      </w:pPr>
      <w:r>
        <w:rPr>
          <w:rFonts w:ascii="Times New Roman" w:hAnsi="Times New Roman" w:eastAsia="Times New Roman"/>
          <w:b/>
          <w:i w:val="0"/>
          <w:sz w:val="24"/>
        </w:rPr>
        <w:t>3.4.2 AI Exposure Variables</w:t>
      </w:r>
    </w:p>
    <w:p>
      <w:pPr>
        <w:spacing w:line="360" w:lineRule="auto" w:before="0" w:after="0"/>
        <w:jc w:val="left"/>
      </w:pPr>
      <w:r>
        <w:rPr>
          <w:rFonts w:ascii="Times New Roman" w:hAnsi="Times New Roman" w:eastAsia="Times New Roman"/>
          <w:b w:val="0"/>
          <w:i w:val="0"/>
          <w:sz w:val="24"/>
        </w:rPr>
        <w:t>The key explanatory variable is pre-shock AI exposure. This study uses both continuous and dummy-based AI exposure measures.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continuous measure is the standardized AI exposure variable AIExposureZ.</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AIHigh(i) = 1 if AIExposurePre(i) &gt; Median(AIExposurePre)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the median cutoff equals 58.4466.</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top-quartile treatment indicator is similarly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TopQuartileAI(i) = 1 if AIExposurePre(i) &gt; Q75(AIExposurePre)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the 75th percentile cutoff equals 68.8412.</w:t>
      </w:r>
    </w:p>
    <w:p>
      <w:pPr>
        <w:spacing w:line="360" w:lineRule="auto" w:before="0" w:after="0"/>
        <w:jc w:val="left"/>
      </w:pPr>
    </w:p>
    <w:p>
      <w:pPr>
        <w:spacing w:line="360" w:lineRule="auto" w:before="0" w:after="0"/>
        <w:jc w:val="left"/>
      </w:pPr>
      <w:r>
        <w:rPr>
          <w:rFonts w:ascii="Times New Roman" w:hAnsi="Times New Roman" w:eastAsia="Times New Roman"/>
          <w:b/>
          <w:i w:val="0"/>
          <w:sz w:val="24"/>
        </w:rPr>
        <w:t>3.4.3 Control Variables</w:t>
      </w:r>
    </w:p>
    <w:p>
      <w:pPr>
        <w:spacing w:line="360" w:lineRule="auto" w:before="0" w:after="0"/>
        <w:jc w:val="left"/>
      </w:pPr>
      <w:r>
        <w:rPr>
          <w:rFonts w:ascii="Times New Roman" w:hAnsi="Times New Roman" w:eastAsia="Times New Roman"/>
          <w:b w:val="0"/>
          <w:i w:val="0"/>
          <w:sz w:val="24"/>
        </w:rPr>
        <w:t>The baseline regressions include three lagged control variables:</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log assets under management:</w:t>
      </w:r>
    </w:p>
    <w:p>
      <w:pPr>
        <w:spacing w:line="360" w:lineRule="auto" w:before="0" w:after="0"/>
        <w:ind w:left="360" w:right="360"/>
        <w:jc w:val="center"/>
      </w:pPr>
      <w:r>
        <w:rPr>
          <w:rFonts w:ascii="Times New Roman" w:hAnsi="Times New Roman" w:eastAsia="Times New Roman"/>
          <w:b w:val="0"/>
          <w:i w:val="0"/>
          <w:sz w:val="24"/>
        </w:rPr>
        <w:t>log mtna lag = log(MTNA(i,t-1))</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monthly return:</w:t>
      </w:r>
    </w:p>
    <w:p>
      <w:pPr>
        <w:spacing w:line="360" w:lineRule="auto" w:before="0" w:after="0"/>
        <w:ind w:left="360" w:right="360"/>
        <w:jc w:val="center"/>
      </w:pPr>
      <w:r>
        <w:rPr>
          <w:rFonts w:ascii="Times New Roman" w:hAnsi="Times New Roman" w:eastAsia="Times New Roman"/>
          <w:b w:val="0"/>
          <w:i w:val="0"/>
          <w:sz w:val="24"/>
        </w:rPr>
        <w:t>mret lag = R(i,t-1)</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fund flow:</w:t>
      </w:r>
    </w:p>
    <w:p>
      <w:pPr>
        <w:spacing w:line="360" w:lineRule="auto" w:before="0" w:after="0"/>
        <w:ind w:left="360" w:right="360"/>
        <w:jc w:val="center"/>
      </w:pPr>
      <w:r>
        <w:rPr>
          <w:rFonts w:ascii="Times New Roman" w:hAnsi="Times New Roman" w:eastAsia="Times New Roman"/>
          <w:b w:val="0"/>
          <w:i w:val="0"/>
          <w:sz w:val="24"/>
        </w:rPr>
        <w:t>flow lag = Flow(i,t-1)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These controls account for persistence in fund flows, size effects, and short-term return-driven investor behavior.</w:t>
      </w:r>
    </w:p>
    <w:p>
      <w:pPr>
        <w:spacing w:line="360" w:lineRule="auto" w:before="0" w:after="0"/>
        <w:jc w:val="left"/>
      </w:pPr>
    </w:p>
    <w:p>
      <w:pPr>
        <w:spacing w:line="360" w:lineRule="auto" w:before="0" w:after="0"/>
        <w:jc w:val="left"/>
      </w:pPr>
      <w:r>
        <w:rPr>
          <w:rFonts w:ascii="Times New Roman" w:hAnsi="Times New Roman" w:eastAsia="Times New Roman"/>
          <w:b/>
          <w:i w:val="0"/>
          <w:sz w:val="24"/>
        </w:rPr>
        <w:t>3.4.4 Prior Alpha and GoodFund Variable</w:t>
      </w:r>
    </w:p>
    <w:p>
      <w:pPr>
        <w:spacing w:line="360" w:lineRule="auto" w:before="0" w:after="0"/>
        <w:jc w:val="left"/>
      </w:pPr>
      <w:r>
        <w:rPr>
          <w:rFonts w:ascii="Times New Roman" w:hAnsi="Times New Roman" w:eastAsia="Times New Roman"/>
          <w:b w:val="0"/>
          <w:i w:val="0"/>
          <w:sz w:val="24"/>
        </w:rPr>
        <w:t>To examine heterogeneity in investor responses, this study estimates prior fund alpha using the Fama-French three-factor model over the pre-shock period: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R(i,t) - RF(t) = alpha(i) + betaMKT(i) MKT RF(t) + betaSMB(i) SMB(t) + betaHML(i) HML(t)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Funds must have at least 12 monthly observations before November 2022 to estimate alpha reliably. This procedure produces 1,231 funds with valid alpha estimates.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Based on estimated alpha values, a high-performance dummy variable is constructed: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GoodFund(i) = 1 if alpha(i) &gt; Median(alpha)</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median alpha equals -0.002811.</w:t>
      </w:r>
    </w:p>
    <w:p>
      <w:pPr>
        <w:spacing w:line="360" w:lineRule="auto" w:before="0" w:after="0"/>
        <w:jc w:val="left"/>
      </w:pPr>
    </w:p>
    <w:p>
      <w:pPr>
        <w:spacing w:line="360" w:lineRule="auto" w:before="0" w:after="0"/>
        <w:jc w:val="left"/>
      </w:pPr>
      <w:r>
        <w:rPr>
          <w:rFonts w:ascii="Times New Roman" w:hAnsi="Times New Roman" w:eastAsia="Times New Roman"/>
          <w:b/>
          <w:i w:val="0"/>
          <w:sz w:val="24"/>
        </w:rPr>
        <w:t>3.4.5 Portfolio Allocation Variables</w:t>
      </w:r>
    </w:p>
    <w:p>
      <w:pPr>
        <w:spacing w:line="360" w:lineRule="auto" w:before="0" w:after="0"/>
        <w:jc w:val="left"/>
      </w:pPr>
      <w:r>
        <w:rPr>
          <w:rFonts w:ascii="Times New Roman" w:hAnsi="Times New Roman" w:eastAsia="Times New Roman"/>
          <w:b w:val="0"/>
          <w:i w:val="0"/>
          <w:sz w:val="24"/>
        </w:rPr>
        <w:t>For H3, two portfolio allocation measures are constructed.</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first variable is the number of newly initiated AI stock positions (new_ai_positions). A new AI position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NewAIPosition(p,s,q) = 1 if NoPreviousHolding(p,s), or 1 if QuarterGap(p,s,q) &gt; 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p represents portfolio, s denotes ticker, and q represents quarter.</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second variable is the AI portfolio share:</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AIShare(p,q) = sum over AIStocks of PercentTNA(p,s,q)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This variable measures the percentage of portfolio assets allocated to AI-related firms.</w:t>
      </w:r>
    </w:p>
    <w:p>
      <w:pPr>
        <w:spacing w:line="360" w:lineRule="auto" w:before="0" w:after="0"/>
        <w:jc w:val="left"/>
      </w:pPr>
    </w:p>
    <w:p>
      <w:pPr>
        <w:spacing w:line="360" w:lineRule="auto" w:before="0" w:after="0"/>
        <w:jc w:val="left"/>
      </w:pPr>
      <w:r>
        <w:rPr>
          <w:rFonts w:ascii="Times New Roman" w:hAnsi="Times New Roman" w:eastAsia="Times New Roman"/>
          <w:b/>
          <w:i w:val="0"/>
          <w:sz w:val="24"/>
        </w:rPr>
        <w:t>3.5 Econometric Specifications</w:t>
      </w:r>
    </w:p>
    <w:p>
      <w:pPr>
        <w:spacing w:line="360" w:lineRule="auto" w:before="0" w:after="0"/>
        <w:jc w:val="left"/>
      </w:pPr>
      <w:r>
        <w:rPr>
          <w:rFonts w:ascii="Times New Roman" w:hAnsi="Times New Roman" w:eastAsia="Times New Roman"/>
          <w:b/>
          <w:i w:val="0"/>
          <w:sz w:val="24"/>
        </w:rPr>
        <w:t>3.5.1 Baseline DiD Model</w:t>
      </w:r>
    </w:p>
    <w:p>
      <w:pPr>
        <w:spacing w:line="360" w:lineRule="auto" w:before="0" w:after="0"/>
        <w:jc w:val="left"/>
      </w:pPr>
      <w:r>
        <w:rPr>
          <w:rFonts w:ascii="Times New Roman" w:hAnsi="Times New Roman" w:eastAsia="Times New Roman"/>
          <w:b w:val="0"/>
          <w:i w:val="0"/>
          <w:sz w:val="24"/>
        </w:rPr>
        <w:t>The baseline model estimates the relationship between AI exposure and post-ChatGPT fund flows: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alpha + beta1 [AIExposureZ(i) x Post(t)] + gamma X(i,t-1) + mu(i) + lambda(t)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coefficient of interest is beta1, which measures whether funds with higher pre-shock AI exposure experienced stronger inflows after ChatGPT.</w:t>
      </w:r>
    </w:p>
    <w:p>
      <w:pPr>
        <w:spacing w:line="360" w:lineRule="auto" w:before="0" w:after="0"/>
        <w:jc w:val="left"/>
      </w:pPr>
    </w:p>
    <w:p>
      <w:pPr>
        <w:spacing w:line="360" w:lineRule="auto" w:before="0" w:after="0"/>
        <w:jc w:val="left"/>
      </w:pPr>
      <w:r>
        <w:rPr>
          <w:rFonts w:ascii="Times New Roman" w:hAnsi="Times New Roman" w:eastAsia="Times New Roman"/>
          <w:b/>
          <w:i w:val="0"/>
          <w:sz w:val="24"/>
        </w:rPr>
        <w:t>3.5.2 Event-Study Specification</w:t>
      </w:r>
    </w:p>
    <w:p>
      <w:pPr>
        <w:spacing w:line="360" w:lineRule="auto" w:before="0" w:after="0"/>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alpha + sum from k = -12 to 24, k not equal -1, of beta(k) [AIExposureZ(i) x 1 if RelMonth(t) = k] + mu(i) + lambda(t)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Month -1 is omitted as the reference period.</w:t>
      </w:r>
    </w:p>
    <w:p>
      <w:pPr>
        <w:spacing w:line="360" w:lineRule="auto" w:before="0" w:after="0"/>
        <w:jc w:val="left"/>
      </w:pPr>
    </w:p>
    <w:p>
      <w:pPr>
        <w:spacing w:line="360" w:lineRule="auto" w:before="0" w:after="0"/>
        <w:jc w:val="left"/>
      </w:pPr>
      <w:r>
        <w:rPr>
          <w:rFonts w:ascii="Times New Roman" w:hAnsi="Times New Roman" w:eastAsia="Times New Roman"/>
          <w:b/>
          <w:i w:val="0"/>
          <w:sz w:val="24"/>
        </w:rPr>
        <w:t>3.5.3 Heterogeneity Model</w:t>
      </w:r>
    </w:p>
    <w:p>
      <w:pPr>
        <w:spacing w:line="360" w:lineRule="auto" w:before="0" w:after="0"/>
        <w:jc w:val="left"/>
      </w:pPr>
      <w:r>
        <w:rPr>
          <w:rFonts w:ascii="Times New Roman" w:hAnsi="Times New Roman" w:eastAsia="Times New Roman"/>
          <w:b w:val="0"/>
          <w:i w:val="0"/>
          <w:sz w:val="24"/>
        </w:rPr>
        <w:t>To test whether prior performance moderates investor responses, the following triple-interaction model is estimated: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Flow(i,t) = beta1 [AIExposureZ(i) x Post(t)] + beta2 [Post(t) x GoodFund(i)] + beta3 [AIExposureZ(i) x Post(t) x GoodFund(i)] + gamma X(i,t-1) + mu(i) + lambda(t) + epsilon(i,t)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coefficient beta3 captures whether high-alpha funds experience stronger AI-related inflows after the ChatGPT shock.</w:t>
      </w:r>
    </w:p>
    <w:p>
      <w:pPr>
        <w:spacing w:line="360" w:lineRule="auto" w:before="0" w:after="0"/>
        <w:jc w:val="left"/>
      </w:pPr>
    </w:p>
    <w:p>
      <w:pPr>
        <w:spacing w:line="360" w:lineRule="auto" w:before="0" w:after="0"/>
        <w:jc w:val="left"/>
      </w:pPr>
      <w:r>
        <w:rPr>
          <w:rFonts w:ascii="Times New Roman" w:hAnsi="Times New Roman" w:eastAsia="Times New Roman"/>
          <w:b/>
          <w:i w:val="0"/>
          <w:sz w:val="24"/>
        </w:rPr>
        <w:t>3.5.4 Portfolio Allocation Models</w:t>
      </w:r>
    </w:p>
    <w:p>
      <w:pPr>
        <w:spacing w:line="360" w:lineRule="auto" w:before="0" w:after="0"/>
        <w:jc w:val="left"/>
      </w:pPr>
      <w:r>
        <w:rPr>
          <w:rFonts w:ascii="Times New Roman" w:hAnsi="Times New Roman" w:eastAsia="Times New Roman"/>
          <w:b w:val="0"/>
          <w:i w:val="0"/>
          <w:sz w:val="24"/>
        </w:rPr>
        <w:t>The H3 quarterly models are estimated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NewAIPositions(i,q) = beta1 [AIExposureZ(i) x Post(q)] + gamma X(i,q-1) + mu(i) + lambda(q) + epsilon(i,q)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and: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val="0"/>
          <w:sz w:val="24"/>
        </w:rPr>
        <w:t>AIShare(i,q) = beta1 [AIExposureZ(i) x Post(q)] + gamma X(i,q-1) + mu(i) + lambda(q) + epsilon(i,q)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Both specifications include fund fixed effects, quarter fixed effects, and clustered standard errors.</w:t>
      </w:r>
    </w:p>
    <w:p>
      <w:pPr>
        <w:spacing w:line="360" w:lineRule="auto" w:before="0" w:after="0"/>
        <w:jc w:val="left"/>
      </w:pPr>
    </w:p>
    <w:p>
      <w:pPr>
        <w:spacing w:line="360" w:lineRule="auto" w:before="0" w:after="0"/>
        <w:jc w:val="left"/>
      </w:pPr>
      <w:r>
        <w:rPr>
          <w:rFonts w:ascii="Times New Roman" w:hAnsi="Times New Roman" w:eastAsia="Times New Roman"/>
          <w:b/>
          <w:i w:val="0"/>
          <w:sz w:val="24"/>
        </w:rPr>
        <w:t>3.6 Methodological Strengths and Limitations</w:t>
      </w:r>
    </w:p>
    <w:p>
      <w:pPr>
        <w:spacing w:line="360" w:lineRule="auto" w:before="0" w:after="0"/>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percent_tna measures occasionally contain extreme values above 100 or below zero due to leverage, derivatives, or reporting conventions, requiring careful interpretation of portfolio-share magnitudes.</w:t>
      </w:r>
    </w:p>
    <w:p>
      <w:pPr>
        <w:spacing w:line="360" w:lineRule="auto" w:before="0" w:after="0"/>
        <w:jc w:val="left"/>
      </w:pPr>
    </w:p>
    <w:sectPr>
      <w:pgSz w:w="11906" w:h="16838"/>
      <w:pgMar w:top="1440" w:right="1800" w:bottom="1440" w:left="180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NewRomanPS-BoldMT">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CEDBF0"/>
    <w:multiLevelType w:val="multilevel"/>
    <w:tmpl w:val="DFCEDBF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abstractNum w:abstractNumId="1">
    <w:multiLevelType w:val="singleLevel"/>
    <w:lvl w:ilvl="0">
      <w:start w:val="1"/>
      <w:numFmt w:val="bullet"/>
      <w:lvlText w:val="•"/>
      <w:lvlJc w:val="left"/>
      <w:pPr>
        <w:ind w:left="720" w:hanging="360"/>
      </w:pPr>
      <w:rPr>
        <w:rFonts w:ascii="Symbol" w:hAnsi="Symbol" w:hint="default"/>
      </w:rPr>
    </w:lvl>
  </w:abstractNum>
  <w:num w:numId="2">
    <w:abstractNumId w:val="1"/>
  </w:num>
  <w:abstractNum w:abstractNumId="2">
    <w:multiLevelType w:val="singleLevel"/>
    <w:lvl w:ilvl="0">
      <w:start w:val="1"/>
      <w:numFmt w:val="decimal"/>
      <w:lvlText w:val="%1."/>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305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2026-05-14T00:40:00Z</dcterms:created>
  <dc:creator>果果</dc:creator>
  <cp:lastModifiedBy>果果</cp:lastModifiedBy>
  <dcterms:modified xsi:type="dcterms:W3CDTF">2026-05-16T16:43:53Z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