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pPr>
        <w:spacing w:after="120" w:line="276" w:lineRule="auto"/>
      </w:pPr>
      <w:r>
        <w:rPr>
          <w:rFonts w:ascii="Times New Roman" w:hAnsi="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276" w:lineRule="auto"/>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pPr>
        <w:spacing w:after="120" w:line="276" w:lineRule="auto"/>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276"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pPr>
        <w:spacing w:before="120" w:after="80"/>
        <w:jc w:val="center"/>
      </w:pPr>
      <w:r>
        <w:rPr>
          <w:rFonts w:ascii="Times New Roman" w:hAnsi="Times New Roman" w:eastAsia="Times New Roman"/>
          <w:b/>
          <w:sz w:val="22"/>
        </w:rPr>
        <w:t>Table 3.1. CRSP Monthly Mutual Fund Variables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69"/>
        <w:gridCol w:w="2769"/>
        <w:gridCol w:w="2769"/>
      </w:tblGrid>
      <w:tr>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Variable</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Meaning</w:t>
            </w:r>
          </w:p>
        </w:tc>
        <w:tc>
          <w:tcPr>
            <w:tcW w:type="dxa" w:w="2769"/>
            <w:shd w:fill="D9EAF7"/>
            <w:tcMar>
              <w:top w:w="80" w:type="dxa"/>
              <w:start w:w="90" w:type="dxa"/>
              <w:bottom w:w="80" w:type="dxa"/>
              <w:end w:w="90" w:type="dxa"/>
            </w:tcMar>
            <w:vAlign w:val="center"/>
          </w:tcPr>
          <w:p>
            <w:pPr>
              <w:jc w:val="center"/>
            </w:pPr>
            <w:r/>
            <w:r>
              <w:rPr>
                <w:rFonts w:ascii="Times New Roman" w:hAnsi="Times New Roman" w:eastAsia="Times New Roman"/>
                <w:b/>
                <w:i w:val="0"/>
                <w:sz w:val="18"/>
              </w:rPr>
              <w:t>Use in Empirical Analysis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crsp_fundno</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Unique CRSP mutual fund identifier</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Matches AI exposure data to the monthly fund panel and defines fund-level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caldt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calendar date</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Defines the time dimension, the post-treatment indicator, and monthly fixed effects.</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mtna</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total net assets</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calculate fund flows and lagged fund size.</w:t>
            </w:r>
          </w:p>
        </w:tc>
      </w:tr>
      <w:tr>
        <w:tc>
          <w:tcPr>
            <w:tcW w:type="dxa" w:w="2769"/>
            <w:tcMar>
              <w:top w:w="80" w:type="dxa"/>
              <w:start w:w="90" w:type="dxa"/>
              <w:bottom w:w="80" w:type="dxa"/>
              <w:end w:w="90" w:type="dxa"/>
            </w:tcMar>
            <w:vAlign w:val="center"/>
          </w:tcPr>
          <w:p>
            <w:pPr>
              <w:jc w:val="left"/>
            </w:pPr>
            <w:r/>
            <w:r>
              <w:rPr>
                <w:rFonts w:ascii="Times New Roman" w:hAnsi="Times New Roman" w:eastAsia="Times New Roman"/>
                <w:b/>
                <w:i w:val="0"/>
                <w:sz w:val="18"/>
              </w:rPr>
              <w:t>mret</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Monthly fund return</w:t>
            </w:r>
          </w:p>
        </w:tc>
        <w:tc>
          <w:tcPr>
            <w:tcW w:type="dxa" w:w="2769"/>
            <w:tcMar>
              <w:top w:w="80" w:type="dxa"/>
              <w:start w:w="90" w:type="dxa"/>
              <w:bottom w:w="80" w:type="dxa"/>
              <w:end w:w="90" w:type="dxa"/>
            </w:tcMar>
            <w:vAlign w:val="center"/>
          </w:tcPr>
          <w:p>
            <w:pPr>
              <w:jc w:val="left"/>
            </w:pPr>
            <w:r/>
            <w:r>
              <w:rPr>
                <w:rFonts w:ascii="Times New Roman" w:hAnsi="Times New Roman" w:eastAsia="Times New Roman"/>
                <w:b w:val="0"/>
                <w:i w:val="0"/>
                <w:sz w:val="18"/>
              </w:rPr>
              <w:t>Used to remove return-driven asset growth from flows and to construct lagged return controls.</w:t>
            </w:r>
          </w:p>
        </w:tc>
      </w:tr>
    </w:tbl>
    <w:p>
      <w:pPr>
        <w:spacing w:after="120" w:line="276" w:lineRule="auto"/>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276" w:lineRule="auto"/>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pPr>
        <w:spacing w:after="120" w:line="276" w:lineRule="auto"/>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120" w:line="276" w:lineRule="auto"/>
        <w:jc w:val="left"/>
      </w:pPr>
      <w:r>
        <w:rPr>
          <w:rFonts w:ascii="Times New Roman" w:hAnsi="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pPr>
        <w:spacing w:after="120" w:line="276" w:lineRule="auto"/>
      </w:pPr>
      <w:r>
        <w:rPr>
          <w:rFonts w:ascii="Times New Roman" w:hAnsi="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276" w:lineRule="auto"/>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120" w:line="276"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b w:val="0"/>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pPr>
        <w:jc w:val="center"/>
      </w:pPr>
      <w:r>
        <w:rPr>
          <w:rFonts w:ascii="Times New Roman" w:hAnsi="Times New Roman" w:eastAsia="Times New Roman"/>
          <w:b/>
          <w:i w:val="0"/>
          <w:sz w:val="22"/>
        </w:rPr>
        <w:t>Table 1B. Correlation Matrix</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tblGrid>
      <w:tr>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Variable</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flow_w</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AIExposureZ</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log_mtna_lag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mret_lag</w:t>
            </w:r>
          </w:p>
        </w:tc>
        <w:tc>
          <w:tcPr>
            <w:tcW w:type="dxa" w:w="1384"/>
            <w:shd w:fill="D9EAF7"/>
            <w:tcMar>
              <w:top w:w="80" w:type="dxa"/>
              <w:start w:w="70" w:type="dxa"/>
              <w:bottom w:w="80" w:type="dxa"/>
              <w:end w:w="70" w:type="dxa"/>
            </w:tcMar>
            <w:vAlign w:val="center"/>
          </w:tcPr>
          <w:p>
            <w:pPr>
              <w:jc w:val="center"/>
            </w:pPr>
            <w:r/>
            <w:r>
              <w:rPr>
                <w:rFonts w:ascii="Times New Roman" w:hAnsi="Times New Roman" w:eastAsia="Times New Roman"/>
                <w:b/>
                <w:i w:val="0"/>
                <w:sz w:val="16"/>
              </w:rPr>
              <w:t>flow_lag</w:t>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flow_w</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AIExposureZ</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log_mtna_lag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-0.035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mret_lag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0.017</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0.041</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0.022</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r>
          </w:p>
        </w:tc>
      </w:tr>
      <w:tr>
        <w:tc>
          <w:tcPr>
            <w:tcW w:type="dxa" w:w="1384"/>
            <w:tcMar>
              <w:top w:w="80" w:type="dxa"/>
              <w:start w:w="70" w:type="dxa"/>
              <w:bottom w:w="80" w:type="dxa"/>
              <w:end w:w="70" w:type="dxa"/>
            </w:tcMar>
            <w:vAlign w:val="center"/>
          </w:tcPr>
          <w:p>
            <w:pPr>
              <w:jc w:val="left"/>
            </w:pPr>
            <w:r/>
            <w:r>
              <w:rPr>
                <w:rFonts w:ascii="Times New Roman" w:hAnsi="Times New Roman" w:eastAsia="Times New Roman"/>
                <w:b/>
                <w:i w:val="0"/>
                <w:sz w:val="16"/>
              </w:rPr>
              <w:t>flow_lag</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-0.079</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0.010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0.020</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0.065</w:t>
            </w:r>
          </w:p>
        </w:tc>
        <w:tc>
          <w:tcPr>
            <w:tcW w:type="dxa" w:w="1384"/>
            <w:tcMar>
              <w:top w:w="80" w:type="dxa"/>
              <w:start w:w="70" w:type="dxa"/>
              <w:bottom w:w="80" w:type="dxa"/>
              <w:end w:w="70" w:type="dxa"/>
            </w:tcMar>
            <w:vAlign w:val="center"/>
          </w:tcPr>
          <w:p>
            <w:pPr>
              <w:jc w:val="center"/>
            </w:pPr>
            <w:r/>
            <w:r>
              <w:rPr>
                <w:rFonts w:ascii="Times New Roman" w:hAnsi="Times New Roman" w:eastAsia="Times New Roman"/>
                <w:b w:val="0"/>
                <w:i w:val="0"/>
                <w:sz w:val="16"/>
              </w:rPr>
              <w:t>1.000</w:t>
            </w:r>
          </w:p>
        </w:tc>
      </w:tr>
    </w:tbl>
    <w:p>
      <w:pPr>
        <w:spacing w:after="160"/>
      </w:pPr>
      <w:r>
        <w:rPr>
          <w:rFonts w:ascii="Times New Roman" w:hAnsi="Times New Roman" w:eastAsia="Times New Roman"/>
          <w:b w:val="0"/>
          <w:i/>
          <w:sz w:val="19"/>
        </w:rPr>
        <w:t>Notes: The table reports pairwise Pearson correlations using the H1/H2 monthly panel. Only the lower triangle is shown.</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pPr>
        <w:spacing w:after="120" w:line="276" w:lineRule="auto"/>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after="120" w:line="276" w:lineRule="auto"/>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after="120" w:line="276" w:lineRule="auto"/>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b w:val="0"/>
          <w:i w:val="0"/>
          <w:sz w:val="24"/>
        </w:rPr>
        <w:t>Figure 3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after="120" w:line="276" w:lineRule="auto"/>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eastAsia="Times New Roman"/>
          <w:b w:val="0"/>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w:t>
      </w:r>
    </w:p>
    <w:p>
      <w:pPr>
        <w:spacing w:after="120" w:line="276" w:lineRule="auto"/>
      </w:pPr>
      <w:r>
        <w:rPr>
          <w:rFonts w:ascii="Times New Roman" w:hAnsi="Times New Roman" w:eastAsia="Times New Roman"/>
          <w:b w:val="0"/>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eastAsia="Times New Roman"/>
          <w:b w:val="0"/>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attention can affect capital flows, asset demand, and portfolio allocation.</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eastAsia="Times New Roman"/>
          <w:b w:val="0"/>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but it adds an important qualification: investors appear to chase thematic exposure more aggressively when the manager has already established credibility.</w:t>
      </w:r>
    </w:p>
    <w:p>
      <w:pPr>
        <w:spacing w:after="120" w:line="276" w:lineRule="auto"/>
      </w:pPr>
      <w:r>
        <w:rPr>
          <w:rFonts w:ascii="Times New Roman" w:hAnsi="Times New Roman" w:eastAsia="Times New Roman"/>
          <w:b w:val="0"/>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Funds with high AI exposure and stronger historical alpha are therefore more likely to be perceived as credible vehicles for gaining AI exposure.</w:t>
      </w:r>
    </w:p>
    <w:p>
      <w:pPr>
        <w:spacing w:after="120" w:line="276" w:lineRule="auto"/>
      </w:pPr>
      <w:r>
        <w:rPr>
          <w:rFonts w:ascii="Times New Roman" w:hAnsi="Times New Roman" w:eastAsia="Times New Roman"/>
          <w:b w:val="0"/>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eastAsia="Times New Roman"/>
          <w:b w:val="0"/>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w:t>
      </w:r>
    </w:p>
    <w:p>
      <w:pPr>
        <w:spacing w:after="120" w:line="276" w:lineRule="auto"/>
      </w:pPr>
      <w:r>
        <w:rPr>
          <w:rFonts w:ascii="Times New Roman" w:hAnsi="Times New Roman" w:eastAsia="Times New Roman"/>
          <w:b w:val="0"/>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w:t>
      </w:r>
    </w:p>
    <w:p>
      <w:pPr>
        <w:spacing w:after="120" w:line="276" w:lineRule="auto"/>
      </w:pPr>
      <w:r>
        <w:rPr>
          <w:rFonts w:ascii="Times New Roman" w:hAnsi="Times New Roman" w:eastAsia="Times New Roman"/>
          <w:b w:val="0"/>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eastAsia="Times New Roman"/>
          <w:b w:val="0"/>
          <w:sz w:val="24"/>
        </w:rPr>
        <w:t>Second, the findings contribute to the mutual fund flow literature by showing that flows respond not only to past performance, fees, and fund characteristics, but also to thematic exposure.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eastAsia="Times New Roman"/>
          <w:b w:val="0"/>
          <w:sz w:val="24"/>
        </w:rPr>
        <w:t>Third, the study contributes to research on technological shocks and institutional adaptation. Much of the emerging AI finance literature focuses on firm-level stock returns or market valuations.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eastAsia="Times New Roman"/>
          <w:b w:val="0"/>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eastAsia="Times New Roman"/>
          <w:b w:val="0"/>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w:t>
      </w:r>
    </w:p>
    <w:p>
      <w:pPr>
        <w:spacing w:after="120" w:line="276" w:lineRule="auto"/>
      </w:pPr>
      <w:r>
        <w:rPr>
          <w:rFonts w:ascii="Times New Roman" w:hAnsi="Times New Roman" w:eastAsia="Times New Roman"/>
          <w:b w:val="0"/>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eastAsia="Times New Roman"/>
          <w:b w:val="0"/>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pPr>
        <w:spacing w:after="120" w:line="276" w:lineRule="auto"/>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r>
        <w:br w:type="page"/>
      </w:r>
    </w:p>
    <w:p>
      <w:pPr>
        <w:spacing w:after="240"/>
      </w:pPr>
      <w:r>
        <w:rPr>
          <w:rFonts w:ascii="Times New Roman" w:hAnsi="Times New Roman"/>
          <w:b/>
          <w:sz w:val="32"/>
        </w:rPr>
        <w:t>References</w:t>
      </w:r>
    </w:p>
    <w:p>
      <w:pPr>
        <w:spacing w:after="120" w:line="240" w:lineRule="auto"/>
        <w:ind w:left="432" w:hanging="432"/>
      </w:pPr>
      <w:r>
        <w:rPr>
          <w:rFonts w:ascii="Times New Roman" w:hAnsi="Times New Roman"/>
          <w:sz w:val="24"/>
        </w:rPr>
        <w:t xml:space="preserve">Acemoglu, D. and Restrepo, P. (2018) </w:t>
      </w:r>
      <w:r>
        <w:rPr>
          <w:rFonts w:ascii="Times New Roman" w:hAnsi="Times New Roman"/>
          <w:sz w:val="24"/>
        </w:rPr>
        <w:t>'Artificial intelligence, automation, and work'</w:t>
      </w:r>
      <w:r>
        <w:rPr>
          <w:rFonts w:ascii="Times New Roman" w:hAnsi="Times New Roman"/>
          <w:sz w:val="24"/>
        </w:rPr>
        <w:t xml:space="preserve">, </w:t>
      </w:r>
      <w:r>
        <w:rPr>
          <w:rFonts w:ascii="Times New Roman" w:hAnsi="Times New Roman"/>
          <w:i/>
          <w:sz w:val="24"/>
        </w:rPr>
        <w:t>NBER Working Paper</w:t>
      </w:r>
      <w:r>
        <w:rPr>
          <w:rFonts w:ascii="Times New Roman" w:hAnsi="Times New Roman"/>
          <w:sz w:val="24"/>
        </w:rPr>
        <w:t>, No. 24196</w:t>
      </w:r>
      <w:r>
        <w:rPr>
          <w:rFonts w:ascii="Times New Roman" w:hAnsi="Times New Roman"/>
          <w:sz w:val="24"/>
        </w:rPr>
        <w:t>. doi: 10.3386/w24196.</w:t>
      </w:r>
    </w:p>
    <w:p>
      <w:pPr>
        <w:spacing w:after="120" w:line="240" w:lineRule="auto"/>
        <w:ind w:left="432" w:hanging="432"/>
      </w:pPr>
      <w:r>
        <w:rPr>
          <w:rFonts w:ascii="Times New Roman" w:hAnsi="Times New Roman"/>
          <w:sz w:val="24"/>
        </w:rPr>
        <w:t xml:space="preserve">Babina, T., Fedyk, A., He, A.X. and Hodson, J. (2024) </w:t>
      </w:r>
      <w:r>
        <w:rPr>
          <w:rFonts w:ascii="Times New Roman" w:hAnsi="Times New Roman"/>
          <w:sz w:val="24"/>
        </w:rPr>
        <w:t>'Artificial intelligence, firm growth, and product innovation'</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151, 103745</w:t>
      </w:r>
      <w:r>
        <w:rPr>
          <w:rFonts w:ascii="Times New Roman" w:hAnsi="Times New Roman"/>
          <w:sz w:val="24"/>
        </w:rPr>
        <w:t>. doi: 10.1016/j.jfineco.2023.103745.</w:t>
      </w:r>
    </w:p>
    <w:p>
      <w:pPr>
        <w:spacing w:after="120" w:line="240" w:lineRule="auto"/>
        <w:ind w:left="432" w:hanging="432"/>
      </w:pPr>
      <w:r>
        <w:rPr>
          <w:rFonts w:ascii="Times New Roman" w:hAnsi="Times New Roman"/>
          <w:sz w:val="24"/>
        </w:rPr>
        <w:t xml:space="preserve">Barber, B.M. and Odean, T. (2008) </w:t>
      </w:r>
      <w:r>
        <w:rPr>
          <w:rFonts w:ascii="Times New Roman" w:hAnsi="Times New Roman"/>
          <w:sz w:val="24"/>
        </w:rPr>
        <w:t>'All that glitters: the effect of attention and news on the buying behavior of individual and institutional investors'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21(2), pp. 785-818</w:t>
      </w:r>
      <w:r>
        <w:rPr>
          <w:rFonts w:ascii="Times New Roman" w:hAnsi="Times New Roman"/>
          <w:sz w:val="24"/>
        </w:rPr>
        <w:t>. doi: 10.1093/rfs/hhm079.</w:t>
      </w:r>
    </w:p>
    <w:p>
      <w:pPr>
        <w:spacing w:after="120" w:line="240" w:lineRule="auto"/>
        <w:ind w:left="432" w:hanging="432"/>
      </w:pPr>
      <w:r>
        <w:rPr>
          <w:rFonts w:ascii="Times New Roman" w:hAnsi="Times New Roman"/>
          <w:sz w:val="24"/>
        </w:rPr>
        <w:t xml:space="preserve">Ben-Rephael, A., Da, Z. and Israelsen, R.D. (2017) </w:t>
      </w:r>
      <w:r>
        <w:rPr>
          <w:rFonts w:ascii="Times New Roman" w:hAnsi="Times New Roman"/>
          <w:sz w:val="24"/>
        </w:rPr>
        <w:t>'It depends on where you search: institutional investor attention and underreaction to news'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30(9), pp. 3009-3047</w:t>
      </w:r>
      <w:r>
        <w:rPr>
          <w:rFonts w:ascii="Times New Roman" w:hAnsi="Times New Roman"/>
          <w:sz w:val="24"/>
        </w:rPr>
        <w:t>. doi: 10.1093/rfs/hhx031.</w:t>
      </w:r>
    </w:p>
    <w:p>
      <w:pPr>
        <w:spacing w:after="120" w:line="240" w:lineRule="auto"/>
        <w:ind w:left="432" w:hanging="432"/>
      </w:pPr>
      <w:r>
        <w:rPr>
          <w:rFonts w:ascii="Times New Roman" w:hAnsi="Times New Roman"/>
          <w:sz w:val="24"/>
        </w:rPr>
        <w:t xml:space="preserve">Berk, J.B. and Green, R.C. (2004) </w:t>
      </w:r>
      <w:r>
        <w:rPr>
          <w:rFonts w:ascii="Times New Roman" w:hAnsi="Times New Roman"/>
          <w:sz w:val="24"/>
        </w:rPr>
        <w:t>'Mutual fund flows and performance in rational markets'</w:t>
      </w:r>
      <w:r>
        <w:rPr>
          <w:rFonts w:ascii="Times New Roman" w:hAnsi="Times New Roman"/>
          <w:sz w:val="24"/>
        </w:rPr>
        <w:t xml:space="preserve">, </w:t>
      </w:r>
      <w:r>
        <w:rPr>
          <w:rFonts w:ascii="Times New Roman" w:hAnsi="Times New Roman"/>
          <w:i/>
          <w:sz w:val="24"/>
        </w:rPr>
        <w:t>Journal of Political Economy</w:t>
      </w:r>
      <w:r>
        <w:rPr>
          <w:rFonts w:ascii="Times New Roman" w:hAnsi="Times New Roman"/>
          <w:sz w:val="24"/>
        </w:rPr>
        <w:t>, 112(6), pp. 1269-1295</w:t>
      </w:r>
      <w:r>
        <w:rPr>
          <w:rFonts w:ascii="Times New Roman" w:hAnsi="Times New Roman"/>
          <w:sz w:val="24"/>
        </w:rPr>
        <w:t>. doi: 10.1086/424739.</w:t>
      </w:r>
    </w:p>
    <w:p>
      <w:pPr>
        <w:spacing w:after="120" w:line="240" w:lineRule="auto"/>
        <w:ind w:left="432" w:hanging="432"/>
      </w:pPr>
      <w:r>
        <w:rPr>
          <w:rFonts w:ascii="Times New Roman" w:hAnsi="Times New Roman"/>
          <w:sz w:val="24"/>
        </w:rPr>
        <w:t xml:space="preserve">Bertrand, M., Duflo, E. and Mullainathan, S. (2004) </w:t>
      </w:r>
      <w:r>
        <w:rPr>
          <w:rFonts w:ascii="Times New Roman" w:hAnsi="Times New Roman"/>
          <w:sz w:val="24"/>
        </w:rPr>
        <w:t>'How much should we trust differences-in-differences estimates?'</w:t>
      </w:r>
      <w:r>
        <w:rPr>
          <w:rFonts w:ascii="Times New Roman" w:hAnsi="Times New Roman"/>
          <w:sz w:val="24"/>
        </w:rPr>
        <w:t xml:space="preserve">, </w:t>
      </w:r>
      <w:r>
        <w:rPr>
          <w:rFonts w:ascii="Times New Roman" w:hAnsi="Times New Roman"/>
          <w:i/>
          <w:sz w:val="24"/>
        </w:rPr>
        <w:t>Quarterly Journal of Economics</w:t>
      </w:r>
      <w:r>
        <w:rPr>
          <w:rFonts w:ascii="Times New Roman" w:hAnsi="Times New Roman"/>
          <w:sz w:val="24"/>
        </w:rPr>
        <w:t>, 119(1), pp. 249-275</w:t>
      </w:r>
      <w:r>
        <w:rPr>
          <w:rFonts w:ascii="Times New Roman" w:hAnsi="Times New Roman"/>
          <w:sz w:val="24"/>
        </w:rPr>
        <w:t>. doi: 10.1162/003355304772839588.</w:t>
      </w:r>
    </w:p>
    <w:p>
      <w:pPr>
        <w:spacing w:after="120" w:line="240" w:lineRule="auto"/>
        <w:ind w:left="432" w:hanging="432"/>
      </w:pPr>
      <w:r>
        <w:rPr>
          <w:rFonts w:ascii="Times New Roman" w:hAnsi="Times New Roman"/>
          <w:sz w:val="24"/>
        </w:rPr>
        <w:t xml:space="preserve">Brynjolfsson, E., Rock, D. and Syverson, C. (2019) </w:t>
      </w:r>
      <w:r>
        <w:rPr>
          <w:rFonts w:ascii="Times New Roman" w:hAnsi="Times New Roman"/>
          <w:sz w:val="24"/>
        </w:rPr>
        <w:t>'Artificial intelligence and the modern productivity paradox: a clash of expectations and statistics'</w:t>
      </w:r>
      <w:r>
        <w:rPr>
          <w:rFonts w:ascii="Times New Roman" w:hAnsi="Times New Roman"/>
          <w:sz w:val="24"/>
        </w:rPr>
        <w:t>, in Agrawal, A., Gans, J. and Goldfarb, A. (eds.) The economics of artificial intelligence: an agenda. Chicago: University of Chicago Press, pp. 23-57</w:t>
      </w:r>
      <w:r>
        <w:rPr>
          <w:rFonts w:ascii="Times New Roman" w:hAnsi="Times New Roman"/>
          <w:sz w:val="24"/>
        </w:rPr>
        <w:t>.</w:t>
      </w:r>
    </w:p>
    <w:p>
      <w:pPr>
        <w:spacing w:after="120" w:line="240" w:lineRule="auto"/>
        <w:ind w:left="432" w:hanging="432"/>
      </w:pPr>
      <w:r>
        <w:rPr>
          <w:rFonts w:ascii="Times New Roman" w:hAnsi="Times New Roman"/>
          <w:sz w:val="24"/>
        </w:rPr>
        <w:t xml:space="preserve">Chevalier, J. and Ellison, G. (1997) </w:t>
      </w:r>
      <w:r>
        <w:rPr>
          <w:rFonts w:ascii="Times New Roman" w:hAnsi="Times New Roman"/>
          <w:sz w:val="24"/>
        </w:rPr>
        <w:t>'Risk taking by mutual funds as a response to incentives'</w:t>
      </w:r>
      <w:r>
        <w:rPr>
          <w:rFonts w:ascii="Times New Roman" w:hAnsi="Times New Roman"/>
          <w:sz w:val="24"/>
        </w:rPr>
        <w:t xml:space="preserve">, </w:t>
      </w:r>
      <w:r>
        <w:rPr>
          <w:rFonts w:ascii="Times New Roman" w:hAnsi="Times New Roman"/>
          <w:i/>
          <w:sz w:val="24"/>
        </w:rPr>
        <w:t>Journal of Political Economy</w:t>
      </w:r>
      <w:r>
        <w:rPr>
          <w:rFonts w:ascii="Times New Roman" w:hAnsi="Times New Roman"/>
          <w:sz w:val="24"/>
        </w:rPr>
        <w:t>, 105(6), pp. 1167-1200</w:t>
      </w:r>
      <w:r>
        <w:rPr>
          <w:rFonts w:ascii="Times New Roman" w:hAnsi="Times New Roman"/>
          <w:sz w:val="24"/>
        </w:rPr>
        <w:t>. doi: 10.1086/516389.</w:t>
      </w:r>
    </w:p>
    <w:p>
      <w:pPr>
        <w:spacing w:after="120" w:line="240" w:lineRule="auto"/>
        <w:ind w:left="432" w:hanging="432"/>
      </w:pPr>
      <w:r>
        <w:rPr>
          <w:rFonts w:ascii="Times New Roman" w:hAnsi="Times New Roman"/>
          <w:sz w:val="24"/>
        </w:rPr>
        <w:t xml:space="preserve">Coval, J. and Stafford, E. (2007) </w:t>
      </w:r>
      <w:r>
        <w:rPr>
          <w:rFonts w:ascii="Times New Roman" w:hAnsi="Times New Roman"/>
          <w:sz w:val="24"/>
        </w:rPr>
        <w:t>'Asset fire sales (and purchases) in equity markets'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86(2), pp. 479-512</w:t>
      </w:r>
      <w:r>
        <w:rPr>
          <w:rFonts w:ascii="Times New Roman" w:hAnsi="Times New Roman"/>
          <w:sz w:val="24"/>
        </w:rPr>
        <w:t>. doi: 10.1016/j.jfineco.2006.09.007.</w:t>
      </w:r>
    </w:p>
    <w:p>
      <w:pPr>
        <w:spacing w:after="120" w:line="240" w:lineRule="auto"/>
        <w:ind w:left="432" w:hanging="432"/>
      </w:pPr>
      <w:r>
        <w:rPr>
          <w:rFonts w:ascii="Times New Roman" w:hAnsi="Times New Roman"/>
          <w:sz w:val="24"/>
        </w:rPr>
        <w:t xml:space="preserve">Cremers, K.J.M. and Petajisto, A. (2009) </w:t>
      </w:r>
      <w:r>
        <w:rPr>
          <w:rFonts w:ascii="Times New Roman" w:hAnsi="Times New Roman"/>
          <w:sz w:val="24"/>
        </w:rPr>
        <w:t>'How active is your fund manager? A new measure that predicts performance'</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22(9), pp. 3329-3365</w:t>
      </w:r>
      <w:r>
        <w:rPr>
          <w:rFonts w:ascii="Times New Roman" w:hAnsi="Times New Roman"/>
          <w:sz w:val="24"/>
        </w:rPr>
        <w:t>. doi: 10.1093/rfs/hhp057.</w:t>
      </w:r>
    </w:p>
    <w:p>
      <w:pPr>
        <w:spacing w:after="120" w:line="240" w:lineRule="auto"/>
        <w:ind w:left="432" w:hanging="432"/>
      </w:pPr>
      <w:r>
        <w:rPr>
          <w:rFonts w:ascii="Times New Roman" w:hAnsi="Times New Roman"/>
          <w:sz w:val="24"/>
        </w:rPr>
        <w:t xml:space="preserve">Da, Z., Engelberg, J. and Gao, P. (2011) </w:t>
      </w:r>
      <w:r>
        <w:rPr>
          <w:rFonts w:ascii="Times New Roman" w:hAnsi="Times New Roman"/>
          <w:sz w:val="24"/>
        </w:rPr>
        <w:t>'In search of attention'</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66(5), pp. 1461-1499</w:t>
      </w:r>
      <w:r>
        <w:rPr>
          <w:rFonts w:ascii="Times New Roman" w:hAnsi="Times New Roman"/>
          <w:sz w:val="24"/>
        </w:rPr>
        <w:t>. doi: 10.1111/j.1540-6261.2011.01679.x.</w:t>
      </w:r>
    </w:p>
    <w:p>
      <w:pPr>
        <w:spacing w:after="120" w:line="240" w:lineRule="auto"/>
        <w:ind w:left="432" w:hanging="432"/>
      </w:pPr>
      <w:r>
        <w:rPr>
          <w:rFonts w:ascii="Times New Roman" w:hAnsi="Times New Roman"/>
          <w:sz w:val="24"/>
        </w:rPr>
        <w:t xml:space="preserve">Eisfeldt, A.L., Schubert, G. and Zhang, M.B. (2023) </w:t>
      </w:r>
      <w:r>
        <w:rPr>
          <w:rFonts w:ascii="Times New Roman" w:hAnsi="Times New Roman"/>
          <w:sz w:val="24"/>
        </w:rPr>
        <w:t>'Generative AI and firm values'</w:t>
      </w:r>
      <w:r>
        <w:rPr>
          <w:rFonts w:ascii="Times New Roman" w:hAnsi="Times New Roman"/>
          <w:sz w:val="24"/>
        </w:rPr>
        <w:t xml:space="preserve">, </w:t>
      </w:r>
      <w:r>
        <w:rPr>
          <w:rFonts w:ascii="Times New Roman" w:hAnsi="Times New Roman"/>
          <w:i/>
          <w:sz w:val="24"/>
        </w:rPr>
        <w:t>NBER Working Paper</w:t>
      </w:r>
      <w:r>
        <w:rPr>
          <w:rFonts w:ascii="Times New Roman" w:hAnsi="Times New Roman"/>
          <w:sz w:val="24"/>
        </w:rPr>
        <w:t>, No. 31222</w:t>
      </w:r>
      <w:r>
        <w:rPr>
          <w:rFonts w:ascii="Times New Roman" w:hAnsi="Times New Roman"/>
          <w:sz w:val="24"/>
        </w:rPr>
        <w:t>. doi: 10.3386/w31222.</w:t>
      </w:r>
    </w:p>
    <w:p>
      <w:pPr>
        <w:spacing w:after="120" w:line="240" w:lineRule="auto"/>
        <w:ind w:left="432" w:hanging="432"/>
      </w:pPr>
      <w:r>
        <w:rPr>
          <w:rFonts w:ascii="Times New Roman" w:hAnsi="Times New Roman"/>
          <w:sz w:val="24"/>
        </w:rPr>
        <w:t xml:space="preserve">Fama, E.F. and French, K.R. (1993) </w:t>
      </w:r>
      <w:r>
        <w:rPr>
          <w:rFonts w:ascii="Times New Roman" w:hAnsi="Times New Roman"/>
          <w:sz w:val="24"/>
        </w:rPr>
        <w:t>'Common risk factors in the returns on stocks and bonds'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33(1), pp. 3-56</w:t>
      </w:r>
      <w:r>
        <w:rPr>
          <w:rFonts w:ascii="Times New Roman" w:hAnsi="Times New Roman"/>
          <w:sz w:val="24"/>
        </w:rPr>
        <w:t>. doi: 10.1016/0304-405X(93)90023-5.</w:t>
      </w:r>
    </w:p>
    <w:p>
      <w:pPr>
        <w:spacing w:after="120" w:line="240" w:lineRule="auto"/>
        <w:ind w:left="432" w:hanging="432"/>
      </w:pPr>
      <w:r>
        <w:rPr>
          <w:rFonts w:ascii="Times New Roman" w:hAnsi="Times New Roman"/>
          <w:sz w:val="24"/>
        </w:rPr>
        <w:t xml:space="preserve">Frazzini, A. and Lamont, O.A. (2008) </w:t>
      </w:r>
      <w:r>
        <w:rPr>
          <w:rFonts w:ascii="Times New Roman" w:hAnsi="Times New Roman"/>
          <w:sz w:val="24"/>
        </w:rPr>
        <w:t>'Dumb money: mutual fund flows and the cross-section of stock returns'</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88(2), pp. 299-322</w:t>
      </w:r>
      <w:r>
        <w:rPr>
          <w:rFonts w:ascii="Times New Roman" w:hAnsi="Times New Roman"/>
          <w:sz w:val="24"/>
        </w:rPr>
        <w:t>. doi: 10.1016/j.jfineco.2007.07.001.</w:t>
      </w:r>
    </w:p>
    <w:p>
      <w:pPr>
        <w:spacing w:after="120" w:line="240" w:lineRule="auto"/>
        <w:ind w:left="432" w:hanging="432"/>
      </w:pPr>
      <w:r>
        <w:rPr>
          <w:rFonts w:ascii="Times New Roman" w:hAnsi="Times New Roman"/>
          <w:sz w:val="24"/>
        </w:rPr>
        <w:t xml:space="preserve">Gruber, M.J. (1996) </w:t>
      </w:r>
      <w:r>
        <w:rPr>
          <w:rFonts w:ascii="Times New Roman" w:hAnsi="Times New Roman"/>
          <w:sz w:val="24"/>
        </w:rPr>
        <w:t>'Another puzzle: the growth in actively managed mutual funds'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51(3), pp. 783-810</w:t>
      </w:r>
      <w:r>
        <w:rPr>
          <w:rFonts w:ascii="Times New Roman" w:hAnsi="Times New Roman"/>
          <w:sz w:val="24"/>
        </w:rPr>
        <w:t>. doi: 10.1111/j.1540-6261.1996.tb02707.x.</w:t>
      </w:r>
    </w:p>
    <w:p>
      <w:pPr>
        <w:spacing w:after="120" w:line="240" w:lineRule="auto"/>
        <w:ind w:left="432" w:hanging="432"/>
      </w:pPr>
      <w:r>
        <w:rPr>
          <w:rFonts w:ascii="Times New Roman" w:hAnsi="Times New Roman"/>
          <w:sz w:val="24"/>
        </w:rPr>
        <w:t xml:space="preserve">Hirshleifer, D. and Teoh, S.H. (2003) </w:t>
      </w:r>
      <w:r>
        <w:rPr>
          <w:rFonts w:ascii="Times New Roman" w:hAnsi="Times New Roman"/>
          <w:sz w:val="24"/>
        </w:rPr>
        <w:t>'Limited attention, information disclosure, and financial reporting'</w:t>
      </w:r>
      <w:r>
        <w:rPr>
          <w:rFonts w:ascii="Times New Roman" w:hAnsi="Times New Roman"/>
          <w:sz w:val="24"/>
        </w:rPr>
        <w:t xml:space="preserve">, </w:t>
      </w:r>
      <w:r>
        <w:rPr>
          <w:rFonts w:ascii="Times New Roman" w:hAnsi="Times New Roman"/>
          <w:i/>
          <w:sz w:val="24"/>
        </w:rPr>
        <w:t>Journal of Accounting and Economics</w:t>
      </w:r>
      <w:r>
        <w:rPr>
          <w:rFonts w:ascii="Times New Roman" w:hAnsi="Times New Roman"/>
          <w:sz w:val="24"/>
        </w:rPr>
        <w:t>, 36(1-3), pp. 337-386</w:t>
      </w:r>
      <w:r>
        <w:rPr>
          <w:rFonts w:ascii="Times New Roman" w:hAnsi="Times New Roman"/>
          <w:sz w:val="24"/>
        </w:rPr>
        <w:t>. doi: 10.1016/j.jacceco.2003.10.002.</w:t>
      </w:r>
    </w:p>
    <w:p>
      <w:pPr>
        <w:spacing w:after="120" w:line="240" w:lineRule="auto"/>
        <w:ind w:left="432" w:hanging="432"/>
      </w:pPr>
      <w:r>
        <w:rPr>
          <w:rFonts w:ascii="Times New Roman" w:hAnsi="Times New Roman"/>
          <w:sz w:val="24"/>
        </w:rPr>
        <w:t xml:space="preserve">Huberman, G. and Regev, T. (2001) </w:t>
      </w:r>
      <w:r>
        <w:rPr>
          <w:rFonts w:ascii="Times New Roman" w:hAnsi="Times New Roman"/>
          <w:sz w:val="24"/>
        </w:rPr>
        <w:t>'Contagious speculation and a cure for cancer: a nonevent that made stock prices soar'</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56(1), pp. 387-396</w:t>
      </w:r>
      <w:r>
        <w:rPr>
          <w:rFonts w:ascii="Times New Roman" w:hAnsi="Times New Roman"/>
          <w:sz w:val="24"/>
        </w:rPr>
        <w:t>. doi: 10.1111/0022-1082.00330.</w:t>
      </w:r>
    </w:p>
    <w:p>
      <w:pPr>
        <w:spacing w:after="120" w:line="240" w:lineRule="auto"/>
        <w:ind w:left="432" w:hanging="432"/>
      </w:pPr>
      <w:r>
        <w:rPr>
          <w:rFonts w:ascii="Times New Roman" w:hAnsi="Times New Roman"/>
          <w:sz w:val="24"/>
        </w:rPr>
        <w:t xml:space="preserve">Kacperczyk, M., Sialm, C. and Zheng, L. (2005) </w:t>
      </w:r>
      <w:r>
        <w:rPr>
          <w:rFonts w:ascii="Times New Roman" w:hAnsi="Times New Roman"/>
          <w:sz w:val="24"/>
        </w:rPr>
        <w:t>'On the industry concentration of actively managed equity mutual funds'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60(4), pp. 1983-2011</w:t>
      </w:r>
      <w:r>
        <w:rPr>
          <w:rFonts w:ascii="Times New Roman" w:hAnsi="Times New Roman"/>
          <w:sz w:val="24"/>
        </w:rPr>
        <w:t>. doi: 10.1111/j.1540-6261.2005.00785.x.</w:t>
      </w:r>
    </w:p>
    <w:p>
      <w:pPr>
        <w:spacing w:after="120" w:line="240" w:lineRule="auto"/>
        <w:ind w:left="432" w:hanging="432"/>
      </w:pPr>
      <w:r>
        <w:rPr>
          <w:rFonts w:ascii="Times New Roman" w:hAnsi="Times New Roman"/>
          <w:sz w:val="24"/>
        </w:rPr>
        <w:t xml:space="preserve">Lou, D. (2012) </w:t>
      </w:r>
      <w:r>
        <w:rPr>
          <w:rFonts w:ascii="Times New Roman" w:hAnsi="Times New Roman"/>
          <w:sz w:val="24"/>
        </w:rPr>
        <w:t>'A flow-based explanation for return predictability'</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25(12), pp. 3457-3489</w:t>
      </w:r>
      <w:r>
        <w:rPr>
          <w:rFonts w:ascii="Times New Roman" w:hAnsi="Times New Roman"/>
          <w:sz w:val="24"/>
        </w:rPr>
        <w:t>. doi: 10.1093/rfs/hhs103.</w:t>
      </w:r>
    </w:p>
    <w:p>
      <w:pPr>
        <w:spacing w:after="120" w:line="240" w:lineRule="auto"/>
        <w:ind w:left="432" w:hanging="432"/>
      </w:pPr>
      <w:r>
        <w:rPr>
          <w:rFonts w:ascii="Times New Roman" w:hAnsi="Times New Roman"/>
          <w:sz w:val="24"/>
        </w:rPr>
        <w:t xml:space="preserve">MacKinlay, A.C. (1997) </w:t>
      </w:r>
      <w:r>
        <w:rPr>
          <w:rFonts w:ascii="Times New Roman" w:hAnsi="Times New Roman"/>
          <w:sz w:val="24"/>
        </w:rPr>
        <w:t>'Event studies in economics and finance'</w:t>
      </w:r>
      <w:r>
        <w:rPr>
          <w:rFonts w:ascii="Times New Roman" w:hAnsi="Times New Roman"/>
          <w:sz w:val="24"/>
        </w:rPr>
        <w:t xml:space="preserve">, </w:t>
      </w:r>
      <w:r>
        <w:rPr>
          <w:rFonts w:ascii="Times New Roman" w:hAnsi="Times New Roman"/>
          <w:i/>
          <w:sz w:val="24"/>
        </w:rPr>
        <w:t>Journal of Economic Literature</w:t>
      </w:r>
      <w:r>
        <w:rPr>
          <w:rFonts w:ascii="Times New Roman" w:hAnsi="Times New Roman"/>
          <w:sz w:val="24"/>
        </w:rPr>
        <w:t>, 35(1), pp. 13-39</w:t>
      </w:r>
      <w:r>
        <w:rPr>
          <w:rFonts w:ascii="Times New Roman" w:hAnsi="Times New Roman"/>
          <w:sz w:val="24"/>
        </w:rPr>
        <w:t>.</w:t>
      </w:r>
    </w:p>
    <w:p>
      <w:pPr>
        <w:spacing w:after="120" w:line="240" w:lineRule="auto"/>
        <w:ind w:left="432" w:hanging="432"/>
      </w:pPr>
      <w:r>
        <w:rPr>
          <w:rFonts w:ascii="Times New Roman" w:hAnsi="Times New Roman"/>
          <w:sz w:val="24"/>
        </w:rPr>
        <w:t xml:space="preserve">Merton, R.C. (1987) </w:t>
      </w:r>
      <w:r>
        <w:rPr>
          <w:rFonts w:ascii="Times New Roman" w:hAnsi="Times New Roman"/>
          <w:sz w:val="24"/>
        </w:rPr>
        <w:t>'A simple model of capital market equilibrium with incomplete information'</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42(3), pp. 483-510</w:t>
      </w:r>
      <w:r>
        <w:rPr>
          <w:rFonts w:ascii="Times New Roman" w:hAnsi="Times New Roman"/>
          <w:sz w:val="24"/>
        </w:rPr>
        <w:t>. doi: 10.1111/j.1540-6261.1987.tb04565.x.</w:t>
      </w:r>
    </w:p>
    <w:p>
      <w:pPr>
        <w:spacing w:after="120" w:line="240" w:lineRule="auto"/>
        <w:ind w:left="432" w:hanging="432"/>
      </w:pPr>
      <w:r>
        <w:rPr>
          <w:rFonts w:ascii="Times New Roman" w:hAnsi="Times New Roman"/>
          <w:sz w:val="24"/>
        </w:rPr>
        <w:t xml:space="preserve">Nanda, V., Wang, Z.J. and Zheng, L. (2004) </w:t>
      </w:r>
      <w:r>
        <w:rPr>
          <w:rFonts w:ascii="Times New Roman" w:hAnsi="Times New Roman"/>
          <w:sz w:val="24"/>
        </w:rPr>
        <w:t>'Family values and the star phenomenon: strategies of mutual fund families'</w:t>
      </w:r>
      <w:r>
        <w:rPr>
          <w:rFonts w:ascii="Times New Roman" w:hAnsi="Times New Roman"/>
          <w:sz w:val="24"/>
        </w:rPr>
        <w:t xml:space="preserve">, </w:t>
      </w:r>
      <w:r>
        <w:rPr>
          <w:rFonts w:ascii="Times New Roman" w:hAnsi="Times New Roman"/>
          <w:i/>
          <w:sz w:val="24"/>
        </w:rPr>
        <w:t>Review of Financial Studies</w:t>
      </w:r>
      <w:r>
        <w:rPr>
          <w:rFonts w:ascii="Times New Roman" w:hAnsi="Times New Roman"/>
          <w:sz w:val="24"/>
        </w:rPr>
        <w:t>, 17(3), pp. 667-698</w:t>
      </w:r>
      <w:r>
        <w:rPr>
          <w:rFonts w:ascii="Times New Roman" w:hAnsi="Times New Roman"/>
          <w:sz w:val="24"/>
        </w:rPr>
        <w:t>. doi: 10.1093/rfs/hhg054.</w:t>
      </w:r>
    </w:p>
    <w:p>
      <w:pPr>
        <w:spacing w:after="120" w:line="240" w:lineRule="auto"/>
        <w:ind w:left="432" w:hanging="432"/>
      </w:pPr>
      <w:r>
        <w:rPr>
          <w:rFonts w:ascii="Times New Roman" w:hAnsi="Times New Roman"/>
          <w:sz w:val="24"/>
        </w:rPr>
        <w:t xml:space="preserve">Peng, L. and Xiong, W. (2006) </w:t>
      </w:r>
      <w:r>
        <w:rPr>
          <w:rFonts w:ascii="Times New Roman" w:hAnsi="Times New Roman"/>
          <w:sz w:val="24"/>
        </w:rPr>
        <w:t>'Investor attention, overconfidence and category learning'</w:t>
      </w:r>
      <w:r>
        <w:rPr>
          <w:rFonts w:ascii="Times New Roman" w:hAnsi="Times New Roman"/>
          <w:sz w:val="24"/>
        </w:rPr>
        <w:t xml:space="preserve">, </w:t>
      </w:r>
      <w:r>
        <w:rPr>
          <w:rFonts w:ascii="Times New Roman" w:hAnsi="Times New Roman"/>
          <w:i/>
          <w:sz w:val="24"/>
        </w:rPr>
        <w:t>Journal of Financial Economics</w:t>
      </w:r>
      <w:r>
        <w:rPr>
          <w:rFonts w:ascii="Times New Roman" w:hAnsi="Times New Roman"/>
          <w:sz w:val="24"/>
        </w:rPr>
        <w:t>, 80(3), pp. 563-602</w:t>
      </w:r>
      <w:r>
        <w:rPr>
          <w:rFonts w:ascii="Times New Roman" w:hAnsi="Times New Roman"/>
          <w:sz w:val="24"/>
        </w:rPr>
        <w:t>. doi: 10.1016/j.jfineco.2005.05.003.</w:t>
      </w:r>
    </w:p>
    <w:p>
      <w:pPr>
        <w:spacing w:after="120" w:line="240" w:lineRule="auto"/>
        <w:ind w:left="432" w:hanging="432"/>
      </w:pPr>
      <w:r>
        <w:rPr>
          <w:rFonts w:ascii="Times New Roman" w:hAnsi="Times New Roman"/>
          <w:sz w:val="24"/>
        </w:rPr>
        <w:t xml:space="preserve">Sirri, E.R. and Tufano, P. (1998) </w:t>
      </w:r>
      <w:r>
        <w:rPr>
          <w:rFonts w:ascii="Times New Roman" w:hAnsi="Times New Roman"/>
          <w:sz w:val="24"/>
        </w:rPr>
        <w:t>'Costly search and mutual fund flows'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53(5), pp. 1589-1622</w:t>
      </w:r>
      <w:r>
        <w:rPr>
          <w:rFonts w:ascii="Times New Roman" w:hAnsi="Times New Roman"/>
          <w:sz w:val="24"/>
        </w:rPr>
        <w:t>. doi: 10.1111/0022-1082.00066.</w:t>
      </w:r>
    </w:p>
    <w:p>
      <w:pPr>
        <w:spacing w:after="120" w:line="240" w:lineRule="auto"/>
        <w:ind w:left="432" w:hanging="432"/>
      </w:pPr>
      <w:r>
        <w:rPr>
          <w:rFonts w:ascii="Times New Roman" w:hAnsi="Times New Roman"/>
          <w:sz w:val="24"/>
        </w:rPr>
        <w:t xml:space="preserve">Wermers, R. (2000) </w:t>
      </w:r>
      <w:r>
        <w:rPr>
          <w:rFonts w:ascii="Times New Roman" w:hAnsi="Times New Roman"/>
          <w:sz w:val="24"/>
        </w:rPr>
        <w:t>'Mutual fund performance: an empirical decomposition into stock-picking talent, style, transactions costs, and expenses'</w:t>
      </w:r>
      <w:r>
        <w:rPr>
          <w:rFonts w:ascii="Times New Roman" w:hAnsi="Times New Roman"/>
          <w:sz w:val="24"/>
        </w:rPr>
        <w:t xml:space="preserve">, </w:t>
      </w:r>
      <w:r>
        <w:rPr>
          <w:rFonts w:ascii="Times New Roman" w:hAnsi="Times New Roman"/>
          <w:i/>
          <w:sz w:val="24"/>
        </w:rPr>
        <w:t>Journal of Finance</w:t>
      </w:r>
      <w:r>
        <w:rPr>
          <w:rFonts w:ascii="Times New Roman" w:hAnsi="Times New Roman"/>
          <w:sz w:val="24"/>
        </w:rPr>
        <w:t>, 55(4), pp. 1655-1695</w:t>
      </w:r>
      <w:r>
        <w:rPr>
          <w:rFonts w:ascii="Times New Roman" w:hAnsi="Times New Roman"/>
          <w:sz w:val="24"/>
        </w:rPr>
        <w:t>. doi: 10.1111/0022-1082.00263.</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