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0C9671">
      <w:bookmarkStart w:id="0" w:name="_GoBack"/>
      <w:bookmarkEnd w:id="0"/>
      <w:r>
        <w:br w:type="page"/>
      </w:r>
    </w:p>
    <w:p w14:paraId="0C8F13CA">
      <w:pPr>
        <w:shd w:val="clear" w:fill="1E3A5F"/>
        <w:spacing w:before="0" w:after="0"/>
      </w:pPr>
      <w:r>
        <w:rPr>
          <w:b/>
          <w:color w:val="FFFFFF"/>
          <w:sz w:val="28"/>
        </w:rPr>
        <w:t xml:space="preserve">  SLIDE 1: COVER PAGE</w:t>
      </w:r>
    </w:p>
    <w:p w14:paraId="0F4D7BA8">
      <w:pPr>
        <w:shd w:val="clear" w:fill="FFF9E6"/>
        <w:spacing w:before="0" w:after="200"/>
      </w:pPr>
      <w:r>
        <w:rPr>
          <w:b/>
          <w:color w:val="6B2737"/>
          <w:sz w:val="20"/>
        </w:rPr>
        <w:t xml:space="preserve">  Time: 0 seconds - Already on screen</w:t>
      </w:r>
    </w:p>
    <w:p w14:paraId="6C308EDA">
      <w:pPr>
        <w:pBdr>
          <w:left w:val="single" w:color="2E5C8A" w:sz="18" w:space="0"/>
        </w:pBdr>
        <w:shd w:val="clear" w:fill="F0F5FA"/>
        <w:spacing w:before="120" w:after="200"/>
        <w:ind w:left="200" w:right="200"/>
      </w:pPr>
      <w:r>
        <w:rPr>
          <w:b/>
          <w:color w:val="2E5C8A"/>
          <w:sz w:val="20"/>
        </w:rPr>
        <w:t>Opening (30 seconds)</w:t>
      </w:r>
      <w:r>
        <w:br w:type="textWrapping"/>
      </w:r>
      <w:r>
        <w:t>Good morning, respected professors. My name is Nan Lin, student ID 2252173. I am from the BSc Information Management and Information Systems program. Today, I will present my Final Year Project titled: 'AI Exposure and Capital Flows: The Role of Investor Attention after the ChatGPT Shock.' My presentation will take about 20 minutes. I welcome your questions at the end. Thank you.</w:t>
      </w:r>
    </w:p>
    <w:p w14:paraId="70695E0E">
      <w:r>
        <w:br w:type="page"/>
      </w:r>
    </w:p>
    <w:p w14:paraId="703B7624">
      <w:pPr>
        <w:shd w:val="clear" w:fill="1E3A5F"/>
        <w:spacing w:before="0" w:after="0"/>
      </w:pPr>
      <w:r>
        <w:rPr>
          <w:b/>
          <w:color w:val="FFFFFF"/>
          <w:sz w:val="28"/>
        </w:rPr>
        <w:t xml:space="preserve">  SLIDE 2: PRESENTATION ROADMAP</w:t>
      </w:r>
    </w:p>
    <w:p w14:paraId="76AC5E79">
      <w:pPr>
        <w:shd w:val="clear" w:fill="FFF9E6"/>
        <w:spacing w:before="0" w:after="200"/>
      </w:pPr>
      <w:r>
        <w:rPr>
          <w:b/>
          <w:color w:val="6B2737"/>
          <w:sz w:val="20"/>
        </w:rPr>
        <w:t xml:space="preserve">  Time: 1 minute</w:t>
      </w:r>
    </w:p>
    <w:p w14:paraId="075C57C9">
      <w:pPr>
        <w:pBdr>
          <w:left w:val="single" w:color="2E5C8A" w:sz="18" w:space="0"/>
        </w:pBdr>
        <w:shd w:val="clear" w:fill="F0F5FA"/>
        <w:spacing w:before="120" w:after="200"/>
        <w:ind w:left="200" w:right="200"/>
      </w:pPr>
      <w:r>
        <w:rPr>
          <w:b/>
          <w:color w:val="2E5C8A"/>
          <w:sz w:val="20"/>
        </w:rPr>
        <w:t>What I Will Talk About</w:t>
      </w:r>
      <w:r>
        <w:br w:type="textWrapping"/>
      </w:r>
      <w:r>
        <w:t>Today, I will present my research in six parts:
1. Background and Motivations - Why I chose this topic
2. Research Questions - What I want to find out
3. Hypotheses Development - My predictions
4. Data and Methods - How I did my research
5. Results - What I found
6. Conclusions - Summary and future work
Total time: 20 minutes, plus 10 minutes for questions.</w:t>
      </w:r>
    </w:p>
    <w:p w14:paraId="513FD509">
      <w:r>
        <w:br w:type="page"/>
      </w:r>
    </w:p>
    <w:p w14:paraId="7F555D5A">
      <w:pPr>
        <w:shd w:val="clear" w:fill="1E3A5F"/>
        <w:spacing w:before="0" w:after="0"/>
      </w:pPr>
      <w:r>
        <w:rPr>
          <w:b/>
          <w:color w:val="FFFFFF"/>
          <w:sz w:val="28"/>
        </w:rPr>
        <w:t xml:space="preserve">  SLIDE 3: BACKGROUND - THE CHATGPT REVOLUTION</w:t>
      </w:r>
    </w:p>
    <w:p w14:paraId="37CD8D6C">
      <w:pPr>
        <w:shd w:val="clear" w:fill="FFF9E6"/>
        <w:spacing w:before="0" w:after="200"/>
      </w:pPr>
      <w:r>
        <w:rPr>
          <w:b/>
          <w:color w:val="6B2737"/>
          <w:sz w:val="20"/>
        </w:rPr>
        <w:t xml:space="preserve">  Time: 3 minutes</w:t>
      </w:r>
    </w:p>
    <w:p w14:paraId="0FCB1F07">
      <w:pPr>
        <w:spacing w:before="240" w:after="80"/>
      </w:pPr>
      <w:r>
        <w:rPr>
          <w:b/>
          <w:color w:val="6B2737"/>
          <w:sz w:val="22"/>
        </w:rPr>
        <w:t>Key Timeline</w:t>
      </w:r>
    </w:p>
    <w:p w14:paraId="3CD09DEA">
      <w:pPr>
        <w:pBdr>
          <w:left w:val="single" w:color="2E5C8A" w:sz="18" w:space="0"/>
        </w:pBdr>
        <w:shd w:val="clear" w:fill="F0F5FA"/>
        <w:spacing w:before="120" w:after="200"/>
        <w:ind w:left="200" w:right="200"/>
      </w:pPr>
      <w:r>
        <w:rPr>
          <w:b/>
          <w:color w:val="2E5C8A"/>
          <w:sz w:val="20"/>
        </w:rPr>
        <w:t>What Happened</w:t>
      </w:r>
      <w:r>
        <w:br w:type="textWrapping"/>
      </w:r>
      <w:r>
        <w:t>On November 30, 2022, OpenAI released ChatGPT. This was a very important event for AI. ChatGPT became popular extremely fast. It got 1 million users in just 5 days. In 2 months, it reached 100 million users. This made it the fastest-growing app in history.</w:t>
      </w:r>
    </w:p>
    <w:p w14:paraId="1F90B4EC">
      <w:pPr>
        <w:spacing w:before="240" w:after="80"/>
      </w:pPr>
      <w:r>
        <w:rPr>
          <w:b/>
          <w:color w:val="6B2737"/>
          <w:sz w:val="22"/>
        </w:rPr>
        <w:t>Why This Matters</w:t>
      </w:r>
    </w:p>
    <w:p w14:paraId="06F99FD9">
      <w:pPr>
        <w:pBdr>
          <w:left w:val="single" w:color="2E5C8A" w:sz="18" w:space="0"/>
        </w:pBdr>
        <w:shd w:val="clear" w:fill="F0F5FA"/>
        <w:spacing w:before="120" w:after="200"/>
        <w:ind w:left="200" w:right="200"/>
      </w:pPr>
      <w:r>
        <w:rPr>
          <w:b/>
          <w:color w:val="2E5C8A"/>
          <w:sz w:val="20"/>
        </w:rPr>
        <w:t>The Big Change</w:t>
      </w:r>
      <w:r>
        <w:br w:type="textWrapping"/>
      </w:r>
      <w:r>
        <w:t>Before ChatGPT, AI was something only tech people knew about. After ChatGPT, everyone was talking about AI. This changed how investors think about technology and the future. It also gave us a special chance to study how big tech news affects where investors put their money.</w:t>
      </w:r>
    </w:p>
    <w:p w14:paraId="53438873">
      <w:pPr>
        <w:spacing w:before="240" w:after="80"/>
      </w:pPr>
      <w:r>
        <w:rPr>
          <w:b/>
          <w:color w:val="6B2737"/>
          <w:sz w:val="22"/>
        </w:rPr>
        <w:t>Theory: Investor Attention</w:t>
      </w:r>
    </w:p>
    <w:p w14:paraId="2C370D27">
      <w:pPr>
        <w:pBdr>
          <w:left w:val="single" w:color="6B2737" w:sz="18" w:space="0"/>
        </w:pBdr>
        <w:shd w:val="clear" w:fill="FFF9E6"/>
        <w:spacing w:before="120" w:after="120"/>
        <w:ind w:left="400" w:right="400"/>
      </w:pPr>
      <w:r>
        <w:rPr>
          <w:i/>
          <w:color w:val="6B2737"/>
        </w:rPr>
        <w:t>"Investors face attention limits. They tend to buy stocks that get a lot of news." - Barber &amp; Odean (2008)</w:t>
      </w:r>
    </w:p>
    <w:p w14:paraId="6606C686">
      <w:pPr>
        <w:pBdr>
          <w:left w:val="single" w:color="2E5C8A" w:sz="18" w:space="0"/>
        </w:pBdr>
        <w:shd w:val="clear" w:fill="F0F5FA"/>
        <w:spacing w:before="120" w:after="200"/>
        <w:ind w:left="200" w:right="200"/>
      </w:pPr>
      <w:r>
        <w:rPr>
          <w:b/>
          <w:color w:val="2E5C8A"/>
          <w:sz w:val="20"/>
        </w:rPr>
        <w:t>Explanation</w:t>
      </w:r>
      <w:r>
        <w:br w:type="textWrapping"/>
      </w:r>
      <w:r>
        <w:t>This quote means that investors cannot pay attention to everything. They focus on stocks that get media coverage. ChatGPT got massive media attention. So we expect investors to pay more attention to AI-related investments.</w:t>
      </w:r>
    </w:p>
    <w:p w14:paraId="36468664">
      <w:r>
        <w:br w:type="page"/>
      </w:r>
    </w:p>
    <w:p w14:paraId="047B1F10">
      <w:pPr>
        <w:shd w:val="clear" w:fill="1E3A5F"/>
        <w:spacing w:before="0" w:after="0"/>
      </w:pPr>
      <w:r>
        <w:rPr>
          <w:b/>
          <w:color w:val="FFFFFF"/>
          <w:sz w:val="28"/>
        </w:rPr>
        <w:t xml:space="preserve">  SLIDE 4: RESEARCH MOTIVATIONS</w:t>
      </w:r>
    </w:p>
    <w:p w14:paraId="0653BA5D">
      <w:pPr>
        <w:shd w:val="clear" w:fill="FFF9E6"/>
        <w:spacing w:before="0" w:after="200"/>
      </w:pPr>
      <w:r>
        <w:rPr>
          <w:b/>
          <w:color w:val="6B2737"/>
          <w:sz w:val="20"/>
        </w:rPr>
        <w:t xml:space="preserve">  Time: Continue 3 minutes</w:t>
      </w:r>
    </w:p>
    <w:p w14:paraId="09E65444">
      <w:pPr>
        <w:spacing w:before="240" w:after="80"/>
      </w:pPr>
      <w:r>
        <w:rPr>
          <w:b/>
          <w:color w:val="6B2737"/>
          <w:sz w:val="22"/>
        </w:rPr>
        <w:t>Three Main Reasons for This Study</w:t>
      </w:r>
    </w:p>
    <w:p w14:paraId="29334F4B">
      <w:pPr>
        <w:pBdr>
          <w:left w:val="single" w:color="1E3A5F" w:sz="12" w:space="0"/>
        </w:pBdr>
        <w:shd w:val="clear" w:fill="F8FAFC"/>
        <w:spacing w:before="80" w:after="120"/>
        <w:ind w:left="200" w:right="200"/>
      </w:pPr>
      <w:r>
        <w:rPr>
          <w:b/>
          <w:color w:val="1E3A5F"/>
        </w:rPr>
        <w:t>1. Attention Drives Flows:</w:t>
      </w:r>
      <w:r>
        <w:t>When new technology gets popular, money follows attention. Investors want to invest in things they see in the news.</w:t>
      </w:r>
    </w:p>
    <w:p w14:paraId="7EA69705">
      <w:pPr>
        <w:pBdr>
          <w:left w:val="single" w:color="1E3A5F" w:sz="12" w:space="0"/>
        </w:pBdr>
        <w:shd w:val="clear" w:fill="F8FAFC"/>
        <w:spacing w:before="80" w:after="120"/>
        <w:ind w:left="200" w:right="200"/>
      </w:pPr>
      <w:r>
        <w:rPr>
          <w:b/>
          <w:color w:val="1E3A5F"/>
        </w:rPr>
        <w:t>2. Thematic Investment:</w:t>
      </w:r>
      <w:r>
        <w:t>Funds with special themes like ESG or clean energy get more money, even if they don't perform better. AI became a new theme after ChatGPT.</w:t>
      </w:r>
    </w:p>
    <w:p w14:paraId="355269C7">
      <w:pPr>
        <w:pBdr>
          <w:left w:val="single" w:color="1E3A5F" w:sz="12" w:space="0"/>
        </w:pBdr>
        <w:shd w:val="clear" w:fill="F8FAFC"/>
        <w:spacing w:before="80" w:after="120"/>
        <w:ind w:left="200" w:right="200"/>
      </w:pPr>
      <w:r>
        <w:rPr>
          <w:b/>
          <w:color w:val="1E3A5F"/>
        </w:rPr>
        <w:t>3. Strategic Adaptation:</w:t>
      </w:r>
      <w:r>
        <w:t>When big changes happen, fund managers might change how they invest. They might try new strategies.</w:t>
      </w:r>
    </w:p>
    <w:p w14:paraId="62E37945">
      <w:pPr>
        <w:spacing w:before="240" w:after="80"/>
      </w:pPr>
      <w:r>
        <w:rPr>
          <w:b/>
          <w:color w:val="6B2737"/>
          <w:sz w:val="22"/>
        </w:rPr>
        <w:t>The Research Gap</w:t>
      </w:r>
    </w:p>
    <w:p w14:paraId="762DA1FF">
      <w:pPr>
        <w:pBdr>
          <w:left w:val="single" w:color="2E5C8A" w:sz="18" w:space="0"/>
        </w:pBdr>
        <w:shd w:val="clear" w:fill="F0F5FA"/>
        <w:spacing w:before="120" w:after="200"/>
        <w:ind w:left="200" w:right="200"/>
      </w:pPr>
      <w:r>
        <w:rPr>
          <w:b/>
          <w:color w:val="2E5C8A"/>
          <w:sz w:val="20"/>
        </w:rPr>
        <w:t>What's Missing</w:t>
      </w:r>
      <w:r>
        <w:br w:type="textWrapping"/>
      </w:r>
      <w:r>
        <w:t>Before my study, no one looked at how AI news affects mutual fund money flows. Past studies looked at companies using AI, but not at how fund managers react to big tech news. My study fills this gap by looking at three things: (1) How AI exposure affects money flows, (2) Whether past performance matters, and (3) Whether managers change their behavior.</w:t>
      </w:r>
    </w:p>
    <w:p w14:paraId="1C80AE19">
      <w:r>
        <w:br w:type="page"/>
      </w:r>
    </w:p>
    <w:p w14:paraId="06824386">
      <w:pPr>
        <w:shd w:val="clear" w:fill="1E3A5F"/>
        <w:spacing w:before="0" w:after="0"/>
      </w:pPr>
      <w:r>
        <w:rPr>
          <w:b/>
          <w:color w:val="FFFFFF"/>
          <w:sz w:val="28"/>
        </w:rPr>
        <w:t xml:space="preserve">  SLIDE 5: RESEARCH QUESTIONS</w:t>
      </w:r>
    </w:p>
    <w:p w14:paraId="4CD7B2EE">
      <w:pPr>
        <w:shd w:val="clear" w:fill="FFF9E6"/>
        <w:spacing w:before="0" w:after="200"/>
      </w:pPr>
      <w:r>
        <w:rPr>
          <w:b/>
          <w:color w:val="6B2737"/>
          <w:sz w:val="20"/>
        </w:rPr>
        <w:t xml:space="preserve">  Time: 1 minute</w:t>
      </w:r>
    </w:p>
    <w:p w14:paraId="2FB7F21B">
      <w:pPr>
        <w:spacing w:before="240" w:after="80"/>
      </w:pPr>
      <w:r>
        <w:rPr>
          <w:b/>
          <w:color w:val="6B2737"/>
          <w:sz w:val="22"/>
        </w:rPr>
        <w:t>Three Questions I Want to Answer</w:t>
      </w:r>
    </w:p>
    <w:p w14:paraId="7C6DAAD7">
      <w:pPr>
        <w:pBdr>
          <w:left w:val="single" w:color="2E5C8A" w:sz="18" w:space="0"/>
        </w:pBdr>
        <w:shd w:val="clear" w:fill="F0F5FA"/>
        <w:spacing w:before="80" w:after="120"/>
        <w:ind w:left="200" w:right="200"/>
      </w:pPr>
      <w:r>
        <w:rPr>
          <w:b/>
          <w:color w:val="2E5C8A"/>
        </w:rPr>
        <w:t>RQ1: Money Flow Effect</w:t>
      </w:r>
      <w:r>
        <w:br w:type="textWrapping"/>
      </w:r>
      <w:r>
        <w:rPr>
          <w:i/>
        </w:rPr>
        <w:t>Since ChatGPT came out, did funds with more AI investments get more money from investors?</w:t>
      </w:r>
      <w:r>
        <w:br w:type="textWrapping"/>
      </w:r>
      <w:r>
        <w:rPr>
          <w:color w:val="4A5568"/>
          <w:sz w:val="20"/>
        </w:rPr>
        <w:t>This tests if the AI news made investors put money into AI-related funds.</w:t>
      </w:r>
    </w:p>
    <w:p w14:paraId="03FDD276">
      <w:pPr>
        <w:pBdr>
          <w:left w:val="single" w:color="2E5C8A" w:sz="18" w:space="0"/>
        </w:pBdr>
        <w:shd w:val="clear" w:fill="F0F5FA"/>
        <w:spacing w:before="80" w:after="120"/>
        <w:ind w:left="200" w:right="200"/>
      </w:pPr>
      <w:r>
        <w:rPr>
          <w:b/>
          <w:color w:val="2E5C8A"/>
        </w:rPr>
        <w:t>RQ2: Past Performance</w:t>
      </w:r>
      <w:r>
        <w:br w:type="textWrapping"/>
      </w:r>
      <w:r>
        <w:rPr>
          <w:i/>
        </w:rPr>
        <w:t>Does a fund's past performance change how much money it gets after ChatGPT?</w:t>
      </w:r>
      <w:r>
        <w:br w:type="textWrapping"/>
      </w:r>
      <w:r>
        <w:rPr>
          <w:color w:val="4A5568"/>
          <w:sz w:val="20"/>
        </w:rPr>
        <w:t>This checks if funds that did well before get even more money when new trends appear.</w:t>
      </w:r>
    </w:p>
    <w:p w14:paraId="5E814856">
      <w:pPr>
        <w:pBdr>
          <w:left w:val="single" w:color="2E5C8A" w:sz="18" w:space="0"/>
        </w:pBdr>
        <w:shd w:val="clear" w:fill="F0F5FA"/>
        <w:spacing w:before="80" w:after="120"/>
        <w:ind w:left="200" w:right="200"/>
      </w:pPr>
      <w:r>
        <w:rPr>
          <w:b/>
          <w:color w:val="2E5C8A"/>
        </w:rPr>
        <w:t>RQ3: Manager Behavior</w:t>
      </w:r>
      <w:r>
        <w:br w:type="textWrapping"/>
      </w:r>
      <w:r>
        <w:rPr>
          <w:i/>
        </w:rPr>
        <w:t>Did AI fund managers change how they invest after ChatGPT came out?</w:t>
      </w:r>
      <w:r>
        <w:br w:type="textWrapping"/>
      </w:r>
      <w:r>
        <w:rPr>
          <w:color w:val="4A5568"/>
          <w:sz w:val="20"/>
        </w:rPr>
        <w:t>This looks at whether managers started trading more or changing their portfolios.</w:t>
      </w:r>
    </w:p>
    <w:p w14:paraId="6CE6A2BD">
      <w:r>
        <w:br w:type="page"/>
      </w:r>
    </w:p>
    <w:p w14:paraId="191BAE11">
      <w:pPr>
        <w:shd w:val="clear" w:fill="1E3A5F"/>
        <w:spacing w:before="0" w:after="0"/>
      </w:pPr>
      <w:r>
        <w:rPr>
          <w:b/>
          <w:color w:val="FFFFFF"/>
          <w:sz w:val="28"/>
        </w:rPr>
        <w:t xml:space="preserve">  SLIDE 6: HYPOTHESIS 1 - AI EXPOSURE AND CAPITAL INFLOWS</w:t>
      </w:r>
    </w:p>
    <w:p w14:paraId="74EE67DD">
      <w:pPr>
        <w:shd w:val="clear" w:fill="FFF9E6"/>
        <w:spacing w:before="0" w:after="200"/>
      </w:pPr>
      <w:r>
        <w:rPr>
          <w:b/>
          <w:color w:val="6B2737"/>
          <w:sz w:val="20"/>
        </w:rPr>
        <w:t xml:space="preserve">  Time: 3 minutes</w:t>
      </w:r>
    </w:p>
    <w:p w14:paraId="4F83D16C">
      <w:pPr>
        <w:spacing w:before="240" w:after="80"/>
      </w:pPr>
      <w:r>
        <w:rPr>
          <w:b/>
          <w:color w:val="6B2737"/>
          <w:sz w:val="22"/>
        </w:rPr>
        <w:t>Theory: Attention-Driven Capital Allocation</w:t>
      </w:r>
    </w:p>
    <w:p w14:paraId="3E241622">
      <w:pPr>
        <w:pBdr>
          <w:left w:val="single" w:color="2E5C8A" w:sz="18" w:space="0"/>
        </w:pBdr>
        <w:shd w:val="clear" w:fill="F0F5FA"/>
        <w:spacing w:before="120" w:after="200"/>
        <w:ind w:left="200" w:right="200"/>
      </w:pPr>
      <w:r>
        <w:rPr>
          <w:b/>
          <w:color w:val="2E5C8A"/>
          <w:sz w:val="20"/>
        </w:rPr>
        <w:t>The Idea</w:t>
      </w:r>
      <w:r>
        <w:br w:type="textWrapping"/>
      </w:r>
      <w:r>
        <w:t>Big technology news makes investors pay attention. This causes them to move their money. ChatGPT got massive public attention. People started believing AI would change the future. Funds that already owned AI stocks became more attractive to investors.</w:t>
      </w:r>
    </w:p>
    <w:p w14:paraId="56B6FA4F">
      <w:pPr>
        <w:pBdr>
          <w:top w:val="single" w:color="22C55E" w:sz="4" w:space="0"/>
          <w:left w:val="single" w:color="22C55E" w:sz="4" w:space="0"/>
          <w:bottom w:val="single" w:color="22C55E" w:sz="4" w:space="0"/>
          <w:right w:val="single" w:color="22C55E" w:sz="4" w:space="0"/>
        </w:pBdr>
        <w:shd w:val="clear" w:fill="F0FDF4"/>
        <w:spacing w:before="120" w:after="160"/>
        <w:ind w:left="200" w:right="200"/>
      </w:pPr>
      <w:r>
        <w:rPr>
          <w:b/>
          <w:color w:val="15803D"/>
        </w:rPr>
        <w:t>Hypothesis H1:</w:t>
      </w:r>
      <w:r>
        <w:t>After ChatGPT came out, funds with more AI exposure got more money than funds without AI exposure.</w:t>
      </w:r>
    </w:p>
    <w:p w14:paraId="2D125D4D">
      <w:pPr>
        <w:spacing w:before="240" w:after="80"/>
      </w:pPr>
      <w:r>
        <w:rPr>
          <w:b/>
          <w:color w:val="6B2737"/>
          <w:sz w:val="22"/>
        </w:rPr>
        <w:t>The Model</w:t>
      </w:r>
    </w:p>
    <w:p w14:paraId="5C829D44">
      <w:pPr>
        <w:pBdr>
          <w:left w:val="single" w:color="2E5C8A" w:sz="18" w:space="0"/>
        </w:pBdr>
        <w:shd w:val="clear" w:fill="F0F5FA"/>
        <w:spacing w:before="120" w:after="200"/>
        <w:ind w:left="200" w:right="200"/>
      </w:pPr>
      <w:r>
        <w:rPr>
          <w:b/>
          <w:color w:val="2E5C8A"/>
          <w:sz w:val="20"/>
        </w:rPr>
        <w:t>How I Test This</w:t>
      </w:r>
      <w:r>
        <w:br w:type="textWrapping"/>
      </w:r>
      <w:r>
        <w:t>I use a method called Difference-in-Differences (DiD). This compares AI funds and non-AI funds before and after ChatGPT came out. The key variable is AI_Exposure x Post. If H1 is correct, this should be positive and significant.</w:t>
      </w:r>
    </w:p>
    <w:p w14:paraId="180AB97D">
      <w:pPr>
        <w:spacing w:before="240" w:after="80"/>
      </w:pPr>
      <w:r>
        <w:rPr>
          <w:b/>
          <w:color w:val="6B2737"/>
          <w:sz w:val="22"/>
        </w:rPr>
        <w:t>Key Literature</w:t>
      </w:r>
    </w:p>
    <w:p w14:paraId="52392DE6">
      <w:pPr>
        <w:spacing w:after="60"/>
        <w:ind w:left="600" w:hanging="240"/>
      </w:pPr>
      <w:r>
        <w:t>• Barber &amp; Odean (2008): Attention affects how investors trade</w:t>
      </w:r>
    </w:p>
    <w:p w14:paraId="40D3F05D">
      <w:pPr>
        <w:spacing w:after="60"/>
        <w:ind w:left="600" w:hanging="240"/>
      </w:pPr>
      <w:r>
        <w:t>• Sirri &amp; Tufano (1998): Past performance affects fund flows</w:t>
      </w:r>
    </w:p>
    <w:p w14:paraId="37CD7FF4">
      <w:pPr>
        <w:spacing w:after="60"/>
        <w:ind w:left="600" w:hanging="240"/>
      </w:pPr>
      <w:r>
        <w:t>• Kaniel et al. (2007): Media coverage affects fund flows</w:t>
      </w:r>
    </w:p>
    <w:p w14:paraId="3F2B53D8">
      <w:r>
        <w:br w:type="page"/>
      </w:r>
    </w:p>
    <w:p w14:paraId="7F5CDEA5">
      <w:pPr>
        <w:shd w:val="clear" w:fill="1E3A5F"/>
        <w:spacing w:before="0" w:after="0"/>
      </w:pPr>
      <w:r>
        <w:rPr>
          <w:b/>
          <w:color w:val="FFFFFF"/>
          <w:sz w:val="28"/>
        </w:rPr>
        <w:t xml:space="preserve">  SLIDE 7: HYPOTHESIS 2 - PERFORMANCE CONTINGENCY</w:t>
      </w:r>
    </w:p>
    <w:p w14:paraId="581F9D8E">
      <w:pPr>
        <w:shd w:val="clear" w:fill="FFF9E6"/>
        <w:spacing w:before="0" w:after="200"/>
      </w:pPr>
      <w:r>
        <w:rPr>
          <w:b/>
          <w:color w:val="6B2737"/>
          <w:sz w:val="20"/>
        </w:rPr>
        <w:t xml:space="preserve">  Time: Continue 3 minutes</w:t>
      </w:r>
    </w:p>
    <w:p w14:paraId="65E63510">
      <w:pPr>
        <w:spacing w:before="240" w:after="80"/>
      </w:pPr>
      <w:r>
        <w:rPr>
          <w:b/>
          <w:color w:val="6B2737"/>
          <w:sz w:val="22"/>
        </w:rPr>
        <w:t>Theory: Performance-Chasing Behavior</w:t>
      </w:r>
    </w:p>
    <w:p w14:paraId="4646E8B5">
      <w:pPr>
        <w:pBdr>
          <w:left w:val="single" w:color="2E5C8A" w:sz="18" w:space="0"/>
        </w:pBdr>
        <w:shd w:val="clear" w:fill="F0F5FA"/>
        <w:spacing w:before="120" w:after="200"/>
        <w:ind w:left="200" w:right="200"/>
      </w:pPr>
      <w:r>
        <w:rPr>
          <w:b/>
          <w:color w:val="2E5C8A"/>
          <w:sz w:val="20"/>
        </w:rPr>
        <w:t>The Idea</w:t>
      </w:r>
      <w:r>
        <w:br w:type="textWrapping"/>
      </w:r>
      <w:r>
        <w:t>Investors often chase past performance. They think funds that did well before will keep doing well. During the AI boom, investors might think top-performing funds are better at finding good AI investments. So high performers might get even more money during the AI trend.</w:t>
      </w:r>
    </w:p>
    <w:p w14:paraId="22043D32">
      <w:pPr>
        <w:pBdr>
          <w:top w:val="single" w:color="22C55E" w:sz="4" w:space="0"/>
          <w:left w:val="single" w:color="22C55E" w:sz="4" w:space="0"/>
          <w:bottom w:val="single" w:color="22C55E" w:sz="4" w:space="0"/>
          <w:right w:val="single" w:color="22C55E" w:sz="4" w:space="0"/>
        </w:pBdr>
        <w:shd w:val="clear" w:fill="F0FDF4"/>
        <w:spacing w:before="120" w:after="160"/>
        <w:ind w:left="200" w:right="200"/>
      </w:pPr>
      <w:r>
        <w:rPr>
          <w:b/>
          <w:color w:val="15803D"/>
        </w:rPr>
        <w:t>Hypothesis H2:</w:t>
      </w:r>
      <w:r>
        <w:t>The positive effect of AI exposure on money flows is stronger for funds that did well before.</w:t>
      </w:r>
    </w:p>
    <w:p w14:paraId="597BA803">
      <w:pPr>
        <w:spacing w:before="240" w:after="80"/>
      </w:pPr>
      <w:r>
        <w:rPr>
          <w:b/>
          <w:color w:val="6B2737"/>
          <w:sz w:val="22"/>
        </w:rPr>
        <w:t>How I Measure Past Performance</w:t>
      </w:r>
    </w:p>
    <w:p w14:paraId="172364BE">
      <w:pPr>
        <w:pBdr>
          <w:left w:val="single" w:color="2E5C8A" w:sz="18" w:space="0"/>
        </w:pBdr>
        <w:shd w:val="clear" w:fill="F0F5FA"/>
        <w:spacing w:before="120" w:after="200"/>
        <w:ind w:left="200" w:right="200"/>
      </w:pPr>
      <w:r>
        <w:rPr>
          <w:b/>
          <w:color w:val="2E5C8A"/>
          <w:sz w:val="20"/>
        </w:rPr>
        <w:t>Method</w:t>
      </w:r>
      <w:r>
        <w:br w:type="textWrapping"/>
      </w:r>
      <w:r>
        <w:t>I calculate each fund's average monthly return from January to October 2022. Then I standardize this measure. This gives me a score that shows how well each fund performed before ChatGPT came out.</w:t>
      </w:r>
    </w:p>
    <w:p w14:paraId="7E737275">
      <w:pPr>
        <w:spacing w:before="240" w:after="80"/>
      </w:pPr>
      <w:r>
        <w:rPr>
          <w:b/>
          <w:color w:val="6B2737"/>
          <w:sz w:val="22"/>
        </w:rPr>
        <w:t>The Model</w:t>
      </w:r>
    </w:p>
    <w:p w14:paraId="16709AED">
      <w:pPr>
        <w:pBdr>
          <w:left w:val="single" w:color="2E5C8A" w:sz="18" w:space="0"/>
        </w:pBdr>
        <w:shd w:val="clear" w:fill="F0F5FA"/>
        <w:spacing w:before="120" w:after="200"/>
        <w:ind w:left="200" w:right="200"/>
      </w:pPr>
      <w:r>
        <w:rPr>
          <w:b/>
          <w:color w:val="2E5C8A"/>
          <w:sz w:val="20"/>
        </w:rPr>
        <w:t>Extended Model</w:t>
      </w:r>
      <w:r>
        <w:br w:type="textWrapping"/>
      </w:r>
      <w:r>
        <w:t>I use a triple-difference model with AI_Exposure x Post x Performance. If H2 is correct, this interaction should be positive. This means high performers get extra benefit from the AI trend.</w:t>
      </w:r>
    </w:p>
    <w:p w14:paraId="0D4C7471">
      <w:r>
        <w:br w:type="page"/>
      </w:r>
    </w:p>
    <w:p w14:paraId="535D6418">
      <w:pPr>
        <w:shd w:val="clear" w:fill="1E3A5F"/>
        <w:spacing w:before="0" w:after="0"/>
      </w:pPr>
      <w:r>
        <w:rPr>
          <w:b/>
          <w:color w:val="FFFFFF"/>
          <w:sz w:val="28"/>
        </w:rPr>
        <w:t xml:space="preserve">  SLIDE 8: HYPOTHESIS 3 - EXPLORATORY INVESTMENT BEHAVIOR</w:t>
      </w:r>
    </w:p>
    <w:p w14:paraId="5BD58497">
      <w:pPr>
        <w:shd w:val="clear" w:fill="FFF9E6"/>
        <w:spacing w:before="0" w:after="200"/>
      </w:pPr>
      <w:r>
        <w:rPr>
          <w:b/>
          <w:color w:val="6B2737"/>
          <w:sz w:val="20"/>
        </w:rPr>
        <w:t xml:space="preserve">  Time: Continue 3 minutes</w:t>
      </w:r>
    </w:p>
    <w:p w14:paraId="0600EF08">
      <w:pPr>
        <w:spacing w:before="240" w:after="80"/>
      </w:pPr>
      <w:r>
        <w:rPr>
          <w:b/>
          <w:color w:val="6B2737"/>
          <w:sz w:val="22"/>
        </w:rPr>
        <w:t>Theory: Organizational Learning</w:t>
      </w:r>
    </w:p>
    <w:p w14:paraId="3CF3F24B">
      <w:pPr>
        <w:pBdr>
          <w:left w:val="single" w:color="2E5C8A" w:sz="18" w:space="0"/>
        </w:pBdr>
        <w:shd w:val="clear" w:fill="F0F5FA"/>
        <w:spacing w:before="120" w:after="200"/>
        <w:ind w:left="200" w:right="200"/>
      </w:pPr>
      <w:r>
        <w:rPr>
          <w:b/>
          <w:color w:val="2E5C8A"/>
          <w:sz w:val="20"/>
        </w:rPr>
        <w:t>The Idea</w:t>
      </w:r>
      <w:r>
        <w:br w:type="textWrapping"/>
      </w:r>
      <w:r>
        <w:t>When big changes happen, organizations might shift from routine behavior to exploring new opportunities. New money coming into AI funds, plus the AI trend, might make managers trade more actively or change their portfolio concentration.</w:t>
      </w:r>
    </w:p>
    <w:p w14:paraId="1CB14CA8">
      <w:pPr>
        <w:pBdr>
          <w:top w:val="single" w:color="22C55E" w:sz="4" w:space="0"/>
          <w:left w:val="single" w:color="22C55E" w:sz="4" w:space="0"/>
          <w:bottom w:val="single" w:color="22C55E" w:sz="4" w:space="0"/>
          <w:right w:val="single" w:color="22C55E" w:sz="4" w:space="0"/>
        </w:pBdr>
        <w:shd w:val="clear" w:fill="F0FDF4"/>
        <w:spacing w:before="120" w:after="160"/>
        <w:ind w:left="200" w:right="200"/>
      </w:pPr>
      <w:r>
        <w:rPr>
          <w:b/>
          <w:color w:val="15803D"/>
        </w:rPr>
        <w:t>Hypothesis H3:</w:t>
      </w:r>
      <w:r>
        <w:t>After ChatGPT came out, AI fund managers traded more and changed their portfolios more, especially when they got more money.</w:t>
      </w:r>
    </w:p>
    <w:p w14:paraId="3F4818C3">
      <w:pPr>
        <w:spacing w:before="240" w:after="80"/>
      </w:pPr>
      <w:r>
        <w:rPr>
          <w:b/>
          <w:color w:val="6B2737"/>
          <w:sz w:val="22"/>
        </w:rPr>
        <w:t>Two Measures of Behavior Change</w:t>
      </w:r>
    </w:p>
    <w:p w14:paraId="372FB4AB">
      <w:pPr>
        <w:pBdr>
          <w:left w:val="single" w:color="1E3A5F" w:sz="12" w:space="0"/>
        </w:pBdr>
        <w:shd w:val="clear" w:fill="F8FAFC"/>
        <w:spacing w:before="80" w:after="120"/>
        <w:ind w:left="200" w:right="200"/>
      </w:pPr>
      <w:r>
        <w:rPr>
          <w:b/>
          <w:color w:val="1E3A5F"/>
        </w:rPr>
        <w:t>1. Turnover Ratio:</w:t>
      </w:r>
      <w:r>
        <w:t>Higher turnover means more active trading. This shows managers are exploring new opportunities.</w:t>
      </w:r>
    </w:p>
    <w:p w14:paraId="6DA8E56E">
      <w:pPr>
        <w:pBdr>
          <w:left w:val="single" w:color="1E3A5F" w:sz="12" w:space="0"/>
        </w:pBdr>
        <w:shd w:val="clear" w:fill="F8FAFC"/>
        <w:spacing w:before="80" w:after="120"/>
        <w:ind w:left="200" w:right="200"/>
      </w:pPr>
      <w:r>
        <w:rPr>
          <w:b/>
          <w:color w:val="1E3A5F"/>
        </w:rPr>
        <w:t>2. HHI (Portfolio Concentration):</w:t>
      </w:r>
      <w:r>
        <w:t>HHI measures how concentrated a portfolio is. Lower HHI means more diversification. If managers explore more, they might become more diversified.</w:t>
      </w:r>
    </w:p>
    <w:p w14:paraId="32D4DF7B">
      <w:pPr>
        <w:spacing w:before="240" w:after="80"/>
      </w:pPr>
      <w:r>
        <w:rPr>
          <w:b/>
          <w:color w:val="6B2737"/>
          <w:sz w:val="22"/>
        </w:rPr>
        <w:t>The Model</w:t>
      </w:r>
    </w:p>
    <w:p w14:paraId="4096A34E">
      <w:pPr>
        <w:pBdr>
          <w:left w:val="single" w:color="2E5C8A" w:sz="18" w:space="0"/>
        </w:pBdr>
        <w:shd w:val="clear" w:fill="F0F5FA"/>
        <w:spacing w:before="120" w:after="200"/>
        <w:ind w:left="200" w:right="200"/>
      </w:pPr>
      <w:r>
        <w:rPr>
          <w:b/>
          <w:color w:val="2E5C8A"/>
          <w:sz w:val="20"/>
        </w:rPr>
        <w:t>Test Method</w:t>
      </w:r>
      <w:r>
        <w:br w:type="textWrapping"/>
      </w:r>
      <w:r>
        <w:t>I use a triple-difference model with AI_Exposure x Post x Flow. I expect positive effect on turnover and negative effect on HHI change. This would mean more trading and more diversification for AI funds with high inflows.</w:t>
      </w:r>
    </w:p>
    <w:p w14:paraId="6B7353A2">
      <w:r>
        <w:br w:type="page"/>
      </w:r>
    </w:p>
    <w:p w14:paraId="0C96C9E4">
      <w:pPr>
        <w:shd w:val="clear" w:fill="1E3A5F"/>
        <w:spacing w:before="0" w:after="0"/>
      </w:pPr>
      <w:r>
        <w:rPr>
          <w:b/>
          <w:color w:val="FFFFFF"/>
          <w:sz w:val="28"/>
        </w:rPr>
        <w:t xml:space="preserve">  SLIDE 9: DATA SOURCES AND SAMPLE</w:t>
      </w:r>
    </w:p>
    <w:p w14:paraId="728140BC">
      <w:pPr>
        <w:shd w:val="clear" w:fill="FFF9E6"/>
        <w:spacing w:before="0" w:after="200"/>
      </w:pPr>
      <w:r>
        <w:rPr>
          <w:b/>
          <w:color w:val="6B2737"/>
          <w:sz w:val="20"/>
        </w:rPr>
        <w:t xml:space="preserve">  Time: 4 minutes</w:t>
      </w:r>
    </w:p>
    <w:p w14:paraId="2EAFE174">
      <w:pPr>
        <w:spacing w:before="240" w:after="80"/>
      </w:pPr>
      <w:r>
        <w:rPr>
          <w:b/>
          <w:color w:val="6B2737"/>
          <w:sz w:val="22"/>
        </w:rPr>
        <w:t>Where I Got My Data</w:t>
      </w:r>
    </w:p>
    <w:p w14:paraId="241D748D">
      <w:pPr>
        <w:pBdr>
          <w:left w:val="single" w:color="1E3A5F" w:sz="12" w:space="0"/>
        </w:pBdr>
        <w:shd w:val="clear" w:fill="F8FAFC"/>
        <w:spacing w:before="80" w:after="120"/>
        <w:ind w:left="200" w:right="200"/>
      </w:pPr>
      <w:r>
        <w:rPr>
          <w:b/>
          <w:color w:val="1E3A5F"/>
        </w:rPr>
        <w:t>1. CRSP Mutual Fund Database:</w:t>
      </w:r>
      <w:r>
        <w:t>This database has information about mutual fund holdings, returns, and sizes.</w:t>
      </w:r>
    </w:p>
    <w:p w14:paraId="27EAF4F8">
      <w:pPr>
        <w:pBdr>
          <w:left w:val="single" w:color="1E3A5F" w:sz="12" w:space="0"/>
        </w:pBdr>
        <w:shd w:val="clear" w:fill="F8FAFC"/>
        <w:spacing w:before="80" w:after="120"/>
        <w:ind w:left="200" w:right="200"/>
      </w:pPr>
      <w:r>
        <w:rPr>
          <w:b/>
          <w:color w:val="1E3A5F"/>
        </w:rPr>
        <w:t>2. AI Company Identification:</w:t>
      </w:r>
      <w:r>
        <w:t>I used Babina et al. (2024) method to find AI companies. This includes companies that hire AI workers and work in AI-related areas like computer chips, cloud computing, and AI model development.</w:t>
      </w:r>
    </w:p>
    <w:p w14:paraId="0EF95040">
      <w:pPr>
        <w:spacing w:before="240" w:after="80"/>
      </w:pPr>
      <w:r>
        <w:rPr>
          <w:b/>
          <w:color w:val="6B2737"/>
          <w:sz w:val="22"/>
        </w:rPr>
        <w:t>Sample Overview</w:t>
      </w:r>
    </w:p>
    <w:tbl>
      <w:tblPr>
        <w:tblStyle w:val="4"/>
        <w:tblW w:w="5000" w:type="pct"/>
        <w:tblInd w:w="0" w:type="dxa"/>
        <w:tblBorders>
          <w:top w:val="single" w:color="1E3A5F" w:sz="8" w:space="0"/>
          <w:left w:val="none" w:color="auto" w:sz="0" w:space="0"/>
          <w:bottom w:val="single" w:color="1E3A5F" w:sz="8"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500"/>
        <w:gridCol w:w="4500"/>
      </w:tblGrid>
      <w:tr w14:paraId="3BAD3E95">
        <w:tc>
          <w:tcPr>
            <w:tcW w:w="4500" w:type="dxa"/>
            <w:shd w:val="clear" w:color="auto" w:fill="E8EEF4"/>
            <w:vAlign w:val="center"/>
          </w:tcPr>
          <w:p w14:paraId="62D3CE41">
            <w:pPr>
              <w:spacing w:before="60" w:after="60"/>
              <w:jc w:val="left"/>
            </w:pPr>
            <w:r>
              <w:rPr>
                <w:b/>
                <w:color w:val="1A1A2E"/>
                <w:sz w:val="20"/>
              </w:rPr>
              <w:t>Sample Period</w:t>
            </w:r>
          </w:p>
        </w:tc>
        <w:tc>
          <w:tcPr>
            <w:tcW w:w="4500" w:type="dxa"/>
            <w:shd w:val="clear" w:color="auto" w:fill="E8EEF4"/>
            <w:vAlign w:val="center"/>
          </w:tcPr>
          <w:p w14:paraId="3F3D7181">
            <w:pPr>
              <w:spacing w:before="60" w:after="60"/>
              <w:jc w:val="left"/>
            </w:pPr>
            <w:r>
              <w:rPr>
                <w:b/>
                <w:color w:val="1A1A2E"/>
                <w:sz w:val="20"/>
              </w:rPr>
              <w:t>January 2021 - December 2024</w:t>
            </w:r>
          </w:p>
        </w:tc>
      </w:tr>
      <w:tr w14:paraId="53C3B271">
        <w:tc>
          <w:tcPr>
            <w:tcW w:w="4500" w:type="dxa"/>
            <w:vAlign w:val="center"/>
          </w:tcPr>
          <w:p w14:paraId="569CD0F8">
            <w:pPr>
              <w:spacing w:before="60" w:after="60"/>
              <w:jc w:val="left"/>
            </w:pPr>
            <w:r>
              <w:rPr>
                <w:color w:val="1A1A2E"/>
                <w:sz w:val="20"/>
              </w:rPr>
              <w:t>Number of Funds</w:t>
            </w:r>
          </w:p>
        </w:tc>
        <w:tc>
          <w:tcPr>
            <w:tcW w:w="4500" w:type="dxa"/>
            <w:vAlign w:val="center"/>
          </w:tcPr>
          <w:p w14:paraId="745F8F5D">
            <w:pPr>
              <w:spacing w:before="60" w:after="60"/>
              <w:jc w:val="left"/>
            </w:pPr>
            <w:r>
              <w:rPr>
                <w:color w:val="1A1A2E"/>
                <w:sz w:val="20"/>
              </w:rPr>
              <w:t>1,229</w:t>
            </w:r>
          </w:p>
        </w:tc>
      </w:tr>
      <w:tr w14:paraId="5818183A">
        <w:tc>
          <w:tcPr>
            <w:tcW w:w="4500" w:type="dxa"/>
            <w:vAlign w:val="center"/>
          </w:tcPr>
          <w:p w14:paraId="2EDA09A9">
            <w:pPr>
              <w:spacing w:before="60" w:after="60"/>
              <w:jc w:val="left"/>
            </w:pPr>
            <w:r>
              <w:rPr>
                <w:color w:val="1A1A2E"/>
                <w:sz w:val="20"/>
              </w:rPr>
              <w:t>Total Observations</w:t>
            </w:r>
          </w:p>
        </w:tc>
        <w:tc>
          <w:tcPr>
            <w:tcW w:w="4500" w:type="dxa"/>
            <w:vAlign w:val="center"/>
          </w:tcPr>
          <w:p w14:paraId="156EB0B4">
            <w:pPr>
              <w:spacing w:before="60" w:after="60"/>
              <w:jc w:val="left"/>
            </w:pPr>
            <w:r>
              <w:rPr>
                <w:color w:val="1A1A2E"/>
                <w:sz w:val="20"/>
              </w:rPr>
              <w:t>54,488</w:t>
            </w:r>
          </w:p>
        </w:tc>
      </w:tr>
      <w:tr w14:paraId="4338CDCA">
        <w:tc>
          <w:tcPr>
            <w:tcW w:w="4500" w:type="dxa"/>
            <w:vAlign w:val="center"/>
          </w:tcPr>
          <w:p w14:paraId="40959B79">
            <w:pPr>
              <w:spacing w:before="60" w:after="60"/>
              <w:jc w:val="left"/>
            </w:pPr>
            <w:r>
              <w:rPr>
                <w:color w:val="1A1A2E"/>
                <w:sz w:val="20"/>
              </w:rPr>
              <w:t>Time Periods</w:t>
            </w:r>
          </w:p>
        </w:tc>
        <w:tc>
          <w:tcPr>
            <w:tcW w:w="4500" w:type="dxa"/>
            <w:vAlign w:val="center"/>
          </w:tcPr>
          <w:p w14:paraId="6F2D8695">
            <w:pPr>
              <w:spacing w:before="60" w:after="60"/>
              <w:jc w:val="left"/>
            </w:pPr>
            <w:r>
              <w:rPr>
                <w:color w:val="1A1A2E"/>
                <w:sz w:val="20"/>
              </w:rPr>
              <w:t>47 months</w:t>
            </w:r>
          </w:p>
        </w:tc>
      </w:tr>
      <w:tr w14:paraId="7A089C6D">
        <w:tc>
          <w:tcPr>
            <w:tcW w:w="4500" w:type="dxa"/>
            <w:vAlign w:val="center"/>
          </w:tcPr>
          <w:p w14:paraId="21249A87">
            <w:pPr>
              <w:spacing w:before="60" w:after="60"/>
              <w:jc w:val="left"/>
            </w:pPr>
            <w:r>
              <w:rPr>
                <w:color w:val="1A1A2E"/>
                <w:sz w:val="20"/>
              </w:rPr>
              <w:t>AI Funds</w:t>
            </w:r>
          </w:p>
        </w:tc>
        <w:tc>
          <w:tcPr>
            <w:tcW w:w="4500" w:type="dxa"/>
            <w:vAlign w:val="center"/>
          </w:tcPr>
          <w:p w14:paraId="2C6C17C8">
            <w:pPr>
              <w:spacing w:before="60" w:after="60"/>
              <w:jc w:val="left"/>
            </w:pPr>
            <w:r>
              <w:rPr>
                <w:color w:val="1A1A2E"/>
                <w:sz w:val="20"/>
              </w:rPr>
              <w:t>866</w:t>
            </w:r>
          </w:p>
        </w:tc>
      </w:tr>
      <w:tr w14:paraId="58C45F7C">
        <w:tc>
          <w:tcPr>
            <w:tcW w:w="4500" w:type="dxa"/>
            <w:vAlign w:val="center"/>
          </w:tcPr>
          <w:p w14:paraId="513B82EC">
            <w:pPr>
              <w:spacing w:before="60" w:after="60"/>
              <w:jc w:val="left"/>
            </w:pPr>
            <w:r>
              <w:rPr>
                <w:color w:val="1A1A2E"/>
                <w:sz w:val="20"/>
              </w:rPr>
              <w:t>Non-AI Funds</w:t>
            </w:r>
          </w:p>
        </w:tc>
        <w:tc>
          <w:tcPr>
            <w:tcW w:w="4500" w:type="dxa"/>
            <w:vAlign w:val="center"/>
          </w:tcPr>
          <w:p w14:paraId="326D65A1">
            <w:pPr>
              <w:spacing w:before="60" w:after="60"/>
              <w:jc w:val="left"/>
            </w:pPr>
            <w:r>
              <w:rPr>
                <w:color w:val="1A1A2E"/>
                <w:sz w:val="20"/>
              </w:rPr>
              <w:t>528</w:t>
            </w:r>
          </w:p>
        </w:tc>
      </w:tr>
    </w:tbl>
    <w:p w14:paraId="6A81FFE3">
      <w:pPr>
        <w:spacing w:before="240" w:after="80"/>
      </w:pPr>
      <w:r>
        <w:rPr>
          <w:b/>
          <w:color w:val="6B2737"/>
          <w:sz w:val="22"/>
        </w:rPr>
        <w:t>Treatment Definition</w:t>
      </w:r>
    </w:p>
    <w:p w14:paraId="6531FBE5">
      <w:pPr>
        <w:pBdr>
          <w:left w:val="single" w:color="2E5C8A" w:sz="18" w:space="0"/>
        </w:pBdr>
        <w:shd w:val="clear" w:fill="F0F5FA"/>
        <w:spacing w:before="120" w:after="200"/>
        <w:ind w:left="200" w:right="200"/>
      </w:pPr>
      <w:r>
        <w:rPr>
          <w:b/>
          <w:color w:val="2E5C8A"/>
          <w:sz w:val="20"/>
        </w:rPr>
        <w:t>How I Define AI Exposure</w:t>
      </w:r>
      <w:r>
        <w:br w:type="textWrapping"/>
      </w:r>
      <w:r>
        <w:t>I measure AI exposure as the average percentage of fund assets in AI companies before November 2022. Then I standardize this measure. This gives me a continuous treatment variable. The Post period starts from November 2022, when ChatGPT was released.</w:t>
      </w:r>
    </w:p>
    <w:p w14:paraId="429C97BB">
      <w:r>
        <w:br w:type="page"/>
      </w:r>
    </w:p>
    <w:p w14:paraId="69D25BB0">
      <w:pPr>
        <w:shd w:val="clear" w:fill="1E3A5F"/>
        <w:spacing w:before="0" w:after="0"/>
      </w:pPr>
      <w:r>
        <w:rPr>
          <w:b/>
          <w:color w:val="FFFFFF"/>
          <w:sz w:val="28"/>
        </w:rPr>
        <w:t xml:space="preserve">  SLIDE 10: VARIABLE DEFINITIONS</w:t>
      </w:r>
    </w:p>
    <w:p w14:paraId="6C77C209">
      <w:pPr>
        <w:shd w:val="clear" w:fill="FFF9E6"/>
        <w:spacing w:before="0" w:after="200"/>
      </w:pPr>
      <w:r>
        <w:rPr>
          <w:b/>
          <w:color w:val="6B2737"/>
          <w:sz w:val="20"/>
        </w:rPr>
        <w:t xml:space="preserve">  Time: Continue 4 minutes</w:t>
      </w:r>
    </w:p>
    <w:p w14:paraId="120E812C">
      <w:pPr>
        <w:spacing w:before="240" w:after="80"/>
      </w:pPr>
      <w:r>
        <w:rPr>
          <w:b/>
          <w:color w:val="6B2737"/>
          <w:sz w:val="22"/>
        </w:rPr>
        <w:t>Main Variables</w:t>
      </w:r>
    </w:p>
    <w:tbl>
      <w:tblPr>
        <w:tblStyle w:val="4"/>
        <w:tblW w:w="5000" w:type="pct"/>
        <w:tblInd w:w="0" w:type="dxa"/>
        <w:tblBorders>
          <w:top w:val="single" w:color="1E3A5F" w:sz="8" w:space="0"/>
          <w:left w:val="none" w:color="auto" w:sz="0" w:space="0"/>
          <w:bottom w:val="single" w:color="1E3A5F" w:sz="8"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400"/>
        <w:gridCol w:w="5600"/>
      </w:tblGrid>
      <w:tr w14:paraId="01DF8E0E">
        <w:tc>
          <w:tcPr>
            <w:tcW w:w="2400" w:type="dxa"/>
            <w:shd w:val="clear" w:color="auto" w:fill="E8EEF4"/>
            <w:vAlign w:val="center"/>
          </w:tcPr>
          <w:p w14:paraId="5ED92921">
            <w:pPr>
              <w:spacing w:before="40" w:after="40"/>
            </w:pPr>
            <w:r>
              <w:rPr>
                <w:b/>
                <w:color w:val="1A1A2E"/>
                <w:sz w:val="18"/>
              </w:rPr>
              <w:t>Variable</w:t>
            </w:r>
          </w:p>
        </w:tc>
        <w:tc>
          <w:tcPr>
            <w:tcW w:w="5600" w:type="dxa"/>
            <w:shd w:val="clear" w:color="auto" w:fill="E8EEF4"/>
            <w:vAlign w:val="center"/>
          </w:tcPr>
          <w:p w14:paraId="63FDEC71">
            <w:pPr>
              <w:spacing w:before="40" w:after="40"/>
            </w:pPr>
            <w:r>
              <w:rPr>
                <w:b/>
                <w:color w:val="1A1A2E"/>
                <w:sz w:val="18"/>
              </w:rPr>
              <w:t>What It Means</w:t>
            </w:r>
          </w:p>
        </w:tc>
      </w:tr>
      <w:tr w14:paraId="4436364B">
        <w:tc>
          <w:tcPr>
            <w:tcW w:w="2400" w:type="dxa"/>
            <w:vAlign w:val="center"/>
          </w:tcPr>
          <w:p w14:paraId="6F123A5E">
            <w:pPr>
              <w:spacing w:before="40" w:after="40"/>
            </w:pPr>
            <w:r>
              <w:rPr>
                <w:color w:val="1A1A2E"/>
                <w:sz w:val="18"/>
              </w:rPr>
              <w:t>Fund Flow</w:t>
            </w:r>
          </w:p>
        </w:tc>
        <w:tc>
          <w:tcPr>
            <w:tcW w:w="5600" w:type="dxa"/>
            <w:vAlign w:val="center"/>
          </w:tcPr>
          <w:p w14:paraId="7C33384C">
            <w:pPr>
              <w:spacing w:before="40" w:after="40"/>
            </w:pPr>
            <w:r>
              <w:rPr>
                <w:color w:val="1A1A2E"/>
                <w:sz w:val="18"/>
              </w:rPr>
              <w:t>How much money goes into or out of a fund</w:t>
            </w:r>
          </w:p>
        </w:tc>
      </w:tr>
      <w:tr w14:paraId="46D7EE14">
        <w:tc>
          <w:tcPr>
            <w:tcW w:w="2400" w:type="dxa"/>
            <w:vAlign w:val="center"/>
          </w:tcPr>
          <w:p w14:paraId="3D42830C">
            <w:pPr>
              <w:spacing w:before="40" w:after="40"/>
            </w:pPr>
            <w:r>
              <w:rPr>
                <w:color w:val="1A1A2E"/>
                <w:sz w:val="18"/>
              </w:rPr>
              <w:t>AI Exposure</w:t>
            </w:r>
          </w:p>
        </w:tc>
        <w:tc>
          <w:tcPr>
            <w:tcW w:w="5600" w:type="dxa"/>
            <w:vAlign w:val="center"/>
          </w:tcPr>
          <w:p w14:paraId="3FDBD80A">
            <w:pPr>
              <w:spacing w:before="40" w:after="40"/>
            </w:pPr>
            <w:r>
              <w:rPr>
                <w:color w:val="1A1A2E"/>
                <w:sz w:val="18"/>
              </w:rPr>
              <w:t>How much of a fund's money is in AI stocks</w:t>
            </w:r>
          </w:p>
        </w:tc>
      </w:tr>
      <w:tr w14:paraId="053360A1">
        <w:tc>
          <w:tcPr>
            <w:tcW w:w="2400" w:type="dxa"/>
            <w:vAlign w:val="center"/>
          </w:tcPr>
          <w:p w14:paraId="67EF4E1F">
            <w:pPr>
              <w:spacing w:before="40" w:after="40"/>
            </w:pPr>
            <w:r>
              <w:rPr>
                <w:color w:val="1A1A2E"/>
                <w:sz w:val="18"/>
              </w:rPr>
              <w:t>Post</w:t>
            </w:r>
          </w:p>
        </w:tc>
        <w:tc>
          <w:tcPr>
            <w:tcW w:w="5600" w:type="dxa"/>
            <w:vAlign w:val="center"/>
          </w:tcPr>
          <w:p w14:paraId="45E42FB0">
            <w:pPr>
              <w:spacing w:before="40" w:after="40"/>
            </w:pPr>
            <w:r>
              <w:rPr>
                <w:color w:val="1A1A2E"/>
                <w:sz w:val="18"/>
              </w:rPr>
              <w:t>Time after ChatGPT came out</w:t>
            </w:r>
          </w:p>
        </w:tc>
      </w:tr>
      <w:tr w14:paraId="02A6BB93">
        <w:tc>
          <w:tcPr>
            <w:tcW w:w="2400" w:type="dxa"/>
            <w:vAlign w:val="center"/>
          </w:tcPr>
          <w:p w14:paraId="4BE5160E">
            <w:pPr>
              <w:spacing w:before="40" w:after="40"/>
            </w:pPr>
            <w:r>
              <w:rPr>
                <w:color w:val="1A1A2E"/>
                <w:sz w:val="18"/>
              </w:rPr>
              <w:t>Fund Size</w:t>
            </w:r>
          </w:p>
        </w:tc>
        <w:tc>
          <w:tcPr>
            <w:tcW w:w="5600" w:type="dxa"/>
            <w:vAlign w:val="center"/>
          </w:tcPr>
          <w:p w14:paraId="0B76645C">
            <w:pPr>
              <w:spacing w:before="40" w:after="40"/>
            </w:pPr>
            <w:r>
              <w:rPr>
                <w:color w:val="1A1A2E"/>
                <w:sz w:val="18"/>
              </w:rPr>
              <w:t>How big the fund is (log of TNA)</w:t>
            </w:r>
          </w:p>
        </w:tc>
      </w:tr>
      <w:tr w14:paraId="2D1B4F5C">
        <w:tc>
          <w:tcPr>
            <w:tcW w:w="2400" w:type="dxa"/>
            <w:vAlign w:val="center"/>
          </w:tcPr>
          <w:p w14:paraId="4041BE0F">
            <w:pPr>
              <w:spacing w:before="40" w:after="40"/>
            </w:pPr>
            <w:r>
              <w:rPr>
                <w:color w:val="1A1A2E"/>
                <w:sz w:val="18"/>
              </w:rPr>
              <w:t>Past Return</w:t>
            </w:r>
          </w:p>
        </w:tc>
        <w:tc>
          <w:tcPr>
            <w:tcW w:w="5600" w:type="dxa"/>
            <w:vAlign w:val="center"/>
          </w:tcPr>
          <w:p w14:paraId="4C0571E9">
            <w:pPr>
              <w:spacing w:before="40" w:after="40"/>
            </w:pPr>
            <w:r>
              <w:rPr>
                <w:color w:val="1A1A2E"/>
                <w:sz w:val="18"/>
              </w:rPr>
              <w:t>How well the fund did last month</w:t>
            </w:r>
          </w:p>
        </w:tc>
      </w:tr>
      <w:tr w14:paraId="5A59C0C3">
        <w:tc>
          <w:tcPr>
            <w:tcW w:w="2400" w:type="dxa"/>
            <w:vAlign w:val="center"/>
          </w:tcPr>
          <w:p w14:paraId="7302ED8A">
            <w:pPr>
              <w:spacing w:before="40" w:after="40"/>
            </w:pPr>
            <w:r>
              <w:rPr>
                <w:color w:val="1A1A2E"/>
                <w:sz w:val="18"/>
              </w:rPr>
              <w:t>Turnover</w:t>
            </w:r>
          </w:p>
        </w:tc>
        <w:tc>
          <w:tcPr>
            <w:tcW w:w="5600" w:type="dxa"/>
            <w:vAlign w:val="center"/>
          </w:tcPr>
          <w:p w14:paraId="4CDA6FA1">
            <w:pPr>
              <w:spacing w:before="40" w:after="40"/>
            </w:pPr>
            <w:r>
              <w:rPr>
                <w:color w:val="1A1A2E"/>
                <w:sz w:val="18"/>
              </w:rPr>
              <w:t>How much the fund trades</w:t>
            </w:r>
          </w:p>
        </w:tc>
      </w:tr>
      <w:tr w14:paraId="4E1C5556">
        <w:tc>
          <w:tcPr>
            <w:tcW w:w="2400" w:type="dxa"/>
            <w:vAlign w:val="center"/>
          </w:tcPr>
          <w:p w14:paraId="1266C5A2">
            <w:pPr>
              <w:spacing w:before="40" w:after="40"/>
            </w:pPr>
            <w:r>
              <w:rPr>
                <w:color w:val="1A1A2E"/>
                <w:sz w:val="18"/>
              </w:rPr>
              <w:t>HHI</w:t>
            </w:r>
          </w:p>
        </w:tc>
        <w:tc>
          <w:tcPr>
            <w:tcW w:w="5600" w:type="dxa"/>
            <w:vAlign w:val="center"/>
          </w:tcPr>
          <w:p w14:paraId="0B0270FA">
            <w:pPr>
              <w:spacing w:before="40" w:after="40"/>
            </w:pPr>
            <w:r>
              <w:rPr>
                <w:color w:val="1A1A2E"/>
                <w:sz w:val="18"/>
              </w:rPr>
              <w:t>How concentrated the portfolio is</w:t>
            </w:r>
          </w:p>
        </w:tc>
      </w:tr>
    </w:tbl>
    <w:p w14:paraId="70209871">
      <w:pPr>
        <w:spacing w:before="240" w:after="80"/>
      </w:pPr>
      <w:r>
        <w:rPr>
          <w:b/>
          <w:color w:val="6B2737"/>
          <w:sz w:val="22"/>
        </w:rPr>
        <w:t>Important Notes</w:t>
      </w:r>
    </w:p>
    <w:p w14:paraId="7847EDD4">
      <w:pPr>
        <w:spacing w:after="60"/>
        <w:ind w:left="600" w:hanging="240"/>
      </w:pPr>
      <w:r>
        <w:t>• I winsorize fund flows at 1% and 99% to handle extreme values</w:t>
      </w:r>
    </w:p>
    <w:p w14:paraId="37BA285E">
      <w:pPr>
        <w:spacing w:after="60"/>
        <w:ind w:left="600" w:hanging="240"/>
      </w:pPr>
      <w:r>
        <w:t>• I use cluster-robust standard errors by fund</w:t>
      </w:r>
    </w:p>
    <w:p w14:paraId="1ADF51EF">
      <w:pPr>
        <w:spacing w:after="60"/>
        <w:ind w:left="600" w:hanging="240"/>
      </w:pPr>
      <w:r>
        <w:t>• All models include fund and time fixed effects</w:t>
      </w:r>
    </w:p>
    <w:p w14:paraId="27448A0A">
      <w:r>
        <w:br w:type="page"/>
      </w:r>
    </w:p>
    <w:p w14:paraId="4F14A153">
      <w:pPr>
        <w:shd w:val="clear" w:fill="1E3A5F"/>
        <w:spacing w:before="0" w:after="0"/>
      </w:pPr>
      <w:r>
        <w:rPr>
          <w:b/>
          <w:color w:val="FFFFFF"/>
          <w:sz w:val="28"/>
        </w:rPr>
        <w:t xml:space="preserve">  SLIDE 11: EMPIRICAL MODEL - BASELINE DID</w:t>
      </w:r>
    </w:p>
    <w:p w14:paraId="282B7086">
      <w:pPr>
        <w:shd w:val="clear" w:fill="FFF9E6"/>
        <w:spacing w:before="0" w:after="200"/>
      </w:pPr>
      <w:r>
        <w:rPr>
          <w:b/>
          <w:color w:val="6B2737"/>
          <w:sz w:val="20"/>
        </w:rPr>
        <w:t xml:space="preserve">  Time: Continue 4 minutes</w:t>
      </w:r>
    </w:p>
    <w:p w14:paraId="072595F9">
      <w:pPr>
        <w:spacing w:before="240" w:after="80"/>
      </w:pPr>
      <w:r>
        <w:rPr>
          <w:b/>
          <w:color w:val="6B2737"/>
          <w:sz w:val="22"/>
        </w:rPr>
        <w:t>The Model (H1)</w:t>
      </w:r>
    </w:p>
    <w:p w14:paraId="2EEFAE7A">
      <w:pPr>
        <w:pBdr>
          <w:left w:val="single" w:color="2E5C8A" w:sz="18" w:space="0"/>
        </w:pBdr>
        <w:shd w:val="clear" w:fill="F0F5FA"/>
        <w:spacing w:before="120" w:after="200"/>
        <w:ind w:left="200" w:right="200"/>
      </w:pPr>
      <w:r>
        <w:rPr>
          <w:b/>
          <w:color w:val="2E5C8A"/>
          <w:sz w:val="20"/>
        </w:rPr>
        <w:t>Equation</w:t>
      </w:r>
      <w:r>
        <w:br w:type="textWrapping"/>
      </w:r>
      <w:r>
        <w:t>Flow(i,t) = alpha + beta1(AI_Exposure_std(i) x Post(t)) + theta'X(i,t) + mu(i) + tau(t) + error(i,t)</w:t>
      </w:r>
    </w:p>
    <w:p w14:paraId="188CDA95">
      <w:pPr>
        <w:spacing w:before="240" w:after="80"/>
      </w:pPr>
      <w:r>
        <w:rPr>
          <w:b/>
          <w:color w:val="6B2737"/>
          <w:sz w:val="22"/>
        </w:rPr>
        <w:t>What Each Part Means</w:t>
      </w:r>
    </w:p>
    <w:p w14:paraId="75595792">
      <w:pPr>
        <w:spacing w:after="60"/>
        <w:ind w:left="600" w:hanging="240"/>
      </w:pPr>
      <w:r>
        <w:t>• Flow(i,t): Fund flow for fund i in month t</w:t>
      </w:r>
    </w:p>
    <w:p w14:paraId="506F0605">
      <w:pPr>
        <w:spacing w:after="60"/>
        <w:ind w:left="600" w:hanging="240"/>
      </w:pPr>
      <w:r>
        <w:t>• AI_Exposure_std(i): Standardized AI exposure (measured before ChatGPT)</w:t>
      </w:r>
    </w:p>
    <w:p w14:paraId="25D380D4">
      <w:pPr>
        <w:spacing w:after="60"/>
        <w:ind w:left="600" w:hanging="240"/>
      </w:pPr>
      <w:r>
        <w:t>• Post(t): Equals 1 after November 2022</w:t>
      </w:r>
    </w:p>
    <w:p w14:paraId="385A21F9">
      <w:pPr>
        <w:spacing w:after="60"/>
        <w:ind w:left="600" w:hanging="240"/>
      </w:pPr>
      <w:r>
        <w:t>• X(i,t): Control variables (fund size, past return)</w:t>
      </w:r>
    </w:p>
    <w:p w14:paraId="73BB6E41">
      <w:pPr>
        <w:spacing w:after="60"/>
        <w:ind w:left="600" w:hanging="240"/>
      </w:pPr>
      <w:r>
        <w:t>• mu(i): Fund fixed effects</w:t>
      </w:r>
    </w:p>
    <w:p w14:paraId="1DDB8DA9">
      <w:pPr>
        <w:spacing w:after="60"/>
        <w:ind w:left="600" w:hanging="240"/>
      </w:pPr>
      <w:r>
        <w:t>• tau(t): Time fixed effects</w:t>
      </w:r>
    </w:p>
    <w:p w14:paraId="33441E1A">
      <w:pPr>
        <w:spacing w:before="240" w:after="80"/>
      </w:pPr>
      <w:r>
        <w:rPr>
          <w:b/>
          <w:color w:val="6B2737"/>
          <w:sz w:val="22"/>
        </w:rPr>
        <w:t>Why This Method Works</w:t>
      </w:r>
    </w:p>
    <w:p w14:paraId="447AD17A">
      <w:pPr>
        <w:pBdr>
          <w:left w:val="single" w:color="1E3A5F" w:sz="12" w:space="0"/>
        </w:pBdr>
        <w:shd w:val="clear" w:fill="F8FAFC"/>
        <w:spacing w:before="80" w:after="120"/>
        <w:ind w:left="200" w:right="200"/>
      </w:pPr>
      <w:r>
        <w:rPr>
          <w:b/>
          <w:color w:val="1E3A5F"/>
        </w:rPr>
        <w:t>1. Parallel Trends:</w:t>
      </w:r>
      <w:r>
        <w:t>Before ChatGPT, AI and non-AI funds should have similar flow patterns. I test this with event study.</w:t>
      </w:r>
    </w:p>
    <w:p w14:paraId="66A0769A">
      <w:pPr>
        <w:pBdr>
          <w:left w:val="single" w:color="1E3A5F" w:sz="12" w:space="0"/>
        </w:pBdr>
        <w:shd w:val="clear" w:fill="F8FAFC"/>
        <w:spacing w:before="80" w:after="120"/>
        <w:ind w:left="200" w:right="200"/>
      </w:pPr>
      <w:r>
        <w:rPr>
          <w:b/>
          <w:color w:val="1E3A5F"/>
        </w:rPr>
        <w:t>2. Pre-determined Treatment:</w:t>
      </w:r>
      <w:r>
        <w:t>AI exposure is measured before ChatGPT, so it's not affected by the shock.</w:t>
      </w:r>
    </w:p>
    <w:p w14:paraId="17DC4102">
      <w:pPr>
        <w:pBdr>
          <w:left w:val="single" w:color="1E3A5F" w:sz="12" w:space="0"/>
        </w:pBdr>
        <w:shd w:val="clear" w:fill="F8FAFC"/>
        <w:spacing w:before="80" w:after="120"/>
        <w:ind w:left="200" w:right="200"/>
      </w:pPr>
      <w:r>
        <w:rPr>
          <w:b/>
          <w:color w:val="1E3A5F"/>
        </w:rPr>
        <w:t>3. Continuous Treatment:</w:t>
      </w:r>
      <w:r>
        <w:t>I use standardized continuous measure, not just yes/no. This captures intensity of AI exposure.</w:t>
      </w:r>
    </w:p>
    <w:p w14:paraId="57E1538C">
      <w:pPr>
        <w:spacing w:before="240" w:after="80"/>
      </w:pPr>
      <w:r>
        <w:rPr>
          <w:b/>
          <w:color w:val="6B2737"/>
          <w:sz w:val="22"/>
        </w:rPr>
        <w:t>Expected Result</w:t>
      </w:r>
    </w:p>
    <w:p w14:paraId="26B9A32C">
      <w:pPr>
        <w:pBdr>
          <w:left w:val="single" w:color="2E5C8A" w:sz="18" w:space="0"/>
        </w:pBdr>
        <w:shd w:val="clear" w:fill="F0F5FA"/>
        <w:spacing w:before="120" w:after="200"/>
        <w:ind w:left="200" w:right="200"/>
      </w:pPr>
      <w:r>
        <w:rPr>
          <w:b/>
          <w:color w:val="2E5C8A"/>
          <w:sz w:val="20"/>
        </w:rPr>
        <w:t>Prediction</w:t>
      </w:r>
      <w:r>
        <w:br w:type="textWrapping"/>
      </w:r>
      <w:r>
        <w:t>If H1 is correct, beta1 should be positive and significant. A positive coefficient means higher AI exposure leads to higher fund flows after ChatGPT.</w:t>
      </w:r>
    </w:p>
    <w:p w14:paraId="6C988A79">
      <w:r>
        <w:br w:type="page"/>
      </w:r>
    </w:p>
    <w:p w14:paraId="7651F825">
      <w:pPr>
        <w:shd w:val="clear" w:fill="1E3A5F"/>
        <w:spacing w:before="0" w:after="0"/>
      </w:pPr>
      <w:r>
        <w:rPr>
          <w:b/>
          <w:color w:val="FFFFFF"/>
          <w:sz w:val="28"/>
        </w:rPr>
        <w:t xml:space="preserve">  SLIDE 12: EXTENDED MODELS - H2 &amp; H3</w:t>
      </w:r>
    </w:p>
    <w:p w14:paraId="53C8D935">
      <w:pPr>
        <w:shd w:val="clear" w:fill="FFF9E6"/>
        <w:spacing w:before="0" w:after="200"/>
      </w:pPr>
      <w:r>
        <w:rPr>
          <w:b/>
          <w:color w:val="6B2737"/>
          <w:sz w:val="20"/>
        </w:rPr>
        <w:t xml:space="preserve">  Time: Continue 4 minutes</w:t>
      </w:r>
    </w:p>
    <w:p w14:paraId="07F79E26">
      <w:pPr>
        <w:spacing w:before="240" w:after="80"/>
      </w:pPr>
      <w:r>
        <w:rPr>
          <w:b/>
          <w:color w:val="6B2737"/>
          <w:sz w:val="22"/>
        </w:rPr>
        <w:t>H2: Triple-Difference Model</w:t>
      </w:r>
    </w:p>
    <w:p w14:paraId="5B7AD9D0">
      <w:pPr>
        <w:pBdr>
          <w:left w:val="single" w:color="2E5C8A" w:sz="18" w:space="0"/>
        </w:pBdr>
        <w:shd w:val="clear" w:fill="F0F5FA"/>
        <w:spacing w:before="120" w:after="200"/>
        <w:ind w:left="200" w:right="200"/>
      </w:pPr>
      <w:r>
        <w:rPr>
          <w:b/>
          <w:color w:val="2E5C8A"/>
          <w:sz w:val="20"/>
        </w:rPr>
        <w:t>Equation</w:t>
      </w:r>
      <w:r>
        <w:br w:type="textWrapping"/>
      </w:r>
      <w:r>
        <w:t>I add AI_Exposure x Post x Performance to test if past performance matters. If H2 is correct, the triple interaction should be positive.</w:t>
      </w:r>
    </w:p>
    <w:p w14:paraId="1B179B30">
      <w:pPr>
        <w:spacing w:before="240" w:after="80"/>
      </w:pPr>
      <w:r>
        <w:rPr>
          <w:b/>
          <w:color w:val="6B2737"/>
          <w:sz w:val="22"/>
        </w:rPr>
        <w:t>H3: Exploratory Behavior Models</w:t>
      </w:r>
    </w:p>
    <w:p w14:paraId="245D7695">
      <w:pPr>
        <w:pBdr>
          <w:left w:val="single" w:color="1E3A5F" w:sz="12" w:space="0"/>
        </w:pBdr>
        <w:shd w:val="clear" w:fill="F8FAFC"/>
        <w:spacing w:before="80" w:after="120"/>
        <w:ind w:left="200" w:right="200"/>
      </w:pPr>
      <w:r>
        <w:rPr>
          <w:b/>
          <w:color w:val="1E3A5F"/>
        </w:rPr>
        <w:t>1. Turnover Model:</w:t>
      </w:r>
      <w:r>
        <w:t>Turnover(i,t) = f(AI_Exposure x Post x Flow) + controls + fixed effects
Expected: Positive coefficient (more turnover means more exploration)</w:t>
      </w:r>
    </w:p>
    <w:p w14:paraId="224329D5">
      <w:pPr>
        <w:pBdr>
          <w:left w:val="single" w:color="1E3A5F" w:sz="12" w:space="0"/>
        </w:pBdr>
        <w:shd w:val="clear" w:fill="F8FAFC"/>
        <w:spacing w:before="80" w:after="120"/>
        <w:ind w:left="200" w:right="200"/>
      </w:pPr>
      <w:r>
        <w:rPr>
          <w:b/>
          <w:color w:val="1E3A5F"/>
        </w:rPr>
        <w:t>2. HHI Change Model:</w:t>
      </w:r>
      <w:r>
        <w:t>Delta_HHI(i,t) = f(AI_Exposure x Post x Flow) + controls + fixed effects
Expected: Negative coefficient (more diversification means more exploration)</w:t>
      </w:r>
    </w:p>
    <w:p w14:paraId="50719719">
      <w:pPr>
        <w:spacing w:before="240" w:after="80"/>
      </w:pPr>
      <w:r>
        <w:rPr>
          <w:b/>
          <w:color w:val="6B2737"/>
          <w:sz w:val="22"/>
        </w:rPr>
        <w:t>Estimation</w:t>
      </w:r>
    </w:p>
    <w:p w14:paraId="742A0402">
      <w:pPr>
        <w:pBdr>
          <w:left w:val="single" w:color="2E5C8A" w:sz="18" w:space="0"/>
        </w:pBdr>
        <w:shd w:val="clear" w:fill="F0F5FA"/>
        <w:spacing w:before="120" w:after="200"/>
        <w:ind w:left="200" w:right="200"/>
      </w:pPr>
      <w:r>
        <w:rPr>
          <w:b/>
          <w:color w:val="2E5C8A"/>
          <w:sz w:val="20"/>
        </w:rPr>
        <w:t>Method</w:t>
      </w:r>
      <w:r>
        <w:br w:type="textWrapping"/>
      </w:r>
      <w:r>
        <w:t>All models use Panel OLS with cluster-robust standard errors by fund. Fixed effects absorb differences between funds and common time shocks.</w:t>
      </w:r>
    </w:p>
    <w:p w14:paraId="67A0B144">
      <w:r>
        <w:br w:type="page"/>
      </w:r>
    </w:p>
    <w:p w14:paraId="214DD722">
      <w:pPr>
        <w:shd w:val="clear" w:fill="1E3A5F"/>
        <w:spacing w:before="0" w:after="0"/>
      </w:pPr>
      <w:r>
        <w:rPr>
          <w:b/>
          <w:color w:val="FFFFFF"/>
          <w:sz w:val="28"/>
        </w:rPr>
        <w:t xml:space="preserve">  SLIDE 13: TABLE 1 - SUMMARY STATISTICS</w:t>
      </w:r>
    </w:p>
    <w:p w14:paraId="7B47EFB4">
      <w:pPr>
        <w:shd w:val="clear" w:fill="FFF9E6"/>
        <w:spacing w:before="0" w:after="200"/>
      </w:pPr>
      <w:r>
        <w:rPr>
          <w:b/>
          <w:color w:val="6B2737"/>
          <w:sz w:val="20"/>
        </w:rPr>
        <w:t xml:space="preserve">  Time: 1 minute</w:t>
      </w:r>
    </w:p>
    <w:p w14:paraId="03232635">
      <w:pPr>
        <w:spacing w:before="240" w:after="80"/>
      </w:pPr>
      <w:r>
        <w:rPr>
          <w:b/>
          <w:color w:val="6B2737"/>
          <w:sz w:val="22"/>
        </w:rPr>
        <w:t>What the Data Looks Like</w:t>
      </w:r>
    </w:p>
    <w:tbl>
      <w:tblPr>
        <w:tblStyle w:val="4"/>
        <w:tblW w:w="5000" w:type="pct"/>
        <w:tblInd w:w="0" w:type="dxa"/>
        <w:tblBorders>
          <w:top w:val="single" w:color="1E3A5F" w:sz="8" w:space="0"/>
          <w:left w:val="none" w:color="auto" w:sz="0" w:space="0"/>
          <w:bottom w:val="single" w:color="1E3A5F" w:sz="8"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000"/>
        <w:gridCol w:w="1200"/>
        <w:gridCol w:w="1200"/>
        <w:gridCol w:w="1200"/>
        <w:gridCol w:w="1200"/>
        <w:gridCol w:w="1200"/>
      </w:tblGrid>
      <w:tr w14:paraId="080571E4">
        <w:tc>
          <w:tcPr>
            <w:tcW w:w="2000" w:type="dxa"/>
            <w:shd w:val="clear" w:color="auto" w:fill="E8EEF4"/>
            <w:vAlign w:val="center"/>
          </w:tcPr>
          <w:p w14:paraId="475BC20E">
            <w:pPr>
              <w:spacing w:before="40" w:after="40"/>
              <w:jc w:val="left"/>
            </w:pPr>
            <w:r>
              <w:rPr>
                <w:b/>
                <w:color w:val="1A1A2E"/>
                <w:sz w:val="18"/>
              </w:rPr>
              <w:t>Variable</w:t>
            </w:r>
          </w:p>
        </w:tc>
        <w:tc>
          <w:tcPr>
            <w:tcW w:w="1200" w:type="dxa"/>
            <w:shd w:val="clear" w:color="auto" w:fill="E8EEF4"/>
            <w:vAlign w:val="center"/>
          </w:tcPr>
          <w:p w14:paraId="1E50878E">
            <w:pPr>
              <w:spacing w:before="40" w:after="40"/>
              <w:jc w:val="center"/>
            </w:pPr>
            <w:r>
              <w:rPr>
                <w:b/>
                <w:color w:val="1A1A2E"/>
                <w:sz w:val="18"/>
              </w:rPr>
              <w:t>N</w:t>
            </w:r>
          </w:p>
        </w:tc>
        <w:tc>
          <w:tcPr>
            <w:tcW w:w="1200" w:type="dxa"/>
            <w:shd w:val="clear" w:color="auto" w:fill="E8EEF4"/>
            <w:vAlign w:val="center"/>
          </w:tcPr>
          <w:p w14:paraId="5201B02A">
            <w:pPr>
              <w:spacing w:before="40" w:after="40"/>
              <w:jc w:val="center"/>
            </w:pPr>
            <w:r>
              <w:rPr>
                <w:b/>
                <w:color w:val="1A1A2E"/>
                <w:sz w:val="18"/>
              </w:rPr>
              <w:t>Mean</w:t>
            </w:r>
          </w:p>
        </w:tc>
        <w:tc>
          <w:tcPr>
            <w:tcW w:w="1200" w:type="dxa"/>
            <w:shd w:val="clear" w:color="auto" w:fill="E8EEF4"/>
            <w:vAlign w:val="center"/>
          </w:tcPr>
          <w:p w14:paraId="533D7B49">
            <w:pPr>
              <w:spacing w:before="40" w:after="40"/>
              <w:jc w:val="center"/>
            </w:pPr>
            <w:r>
              <w:rPr>
                <w:b/>
                <w:color w:val="1A1A2E"/>
                <w:sz w:val="18"/>
              </w:rPr>
              <w:t>Std.Dev.</w:t>
            </w:r>
          </w:p>
        </w:tc>
        <w:tc>
          <w:tcPr>
            <w:tcW w:w="1200" w:type="dxa"/>
            <w:shd w:val="clear" w:color="auto" w:fill="E8EEF4"/>
            <w:vAlign w:val="center"/>
          </w:tcPr>
          <w:p w14:paraId="27F8B735">
            <w:pPr>
              <w:spacing w:before="40" w:after="40"/>
              <w:jc w:val="center"/>
            </w:pPr>
            <w:r>
              <w:rPr>
                <w:b/>
                <w:color w:val="1A1A2E"/>
                <w:sz w:val="18"/>
              </w:rPr>
              <w:t>Min</w:t>
            </w:r>
          </w:p>
        </w:tc>
        <w:tc>
          <w:tcPr>
            <w:tcW w:w="1200" w:type="dxa"/>
            <w:shd w:val="clear" w:color="auto" w:fill="E8EEF4"/>
            <w:vAlign w:val="center"/>
          </w:tcPr>
          <w:p w14:paraId="5DDD9177">
            <w:pPr>
              <w:spacing w:before="40" w:after="40"/>
              <w:jc w:val="center"/>
            </w:pPr>
            <w:r>
              <w:rPr>
                <w:b/>
                <w:color w:val="1A1A2E"/>
                <w:sz w:val="18"/>
              </w:rPr>
              <w:t>Max</w:t>
            </w:r>
          </w:p>
        </w:tc>
      </w:tr>
      <w:tr w14:paraId="07EBF715">
        <w:tc>
          <w:tcPr>
            <w:tcW w:w="2000" w:type="dxa"/>
            <w:vAlign w:val="center"/>
          </w:tcPr>
          <w:p w14:paraId="726EA078">
            <w:pPr>
              <w:spacing w:before="40" w:after="40"/>
              <w:jc w:val="left"/>
            </w:pPr>
            <w:r>
              <w:rPr>
                <w:color w:val="1A1A2E"/>
                <w:sz w:val="18"/>
              </w:rPr>
              <w:t>Flow_w</w:t>
            </w:r>
          </w:p>
        </w:tc>
        <w:tc>
          <w:tcPr>
            <w:tcW w:w="1200" w:type="dxa"/>
            <w:vAlign w:val="center"/>
          </w:tcPr>
          <w:p w14:paraId="7E1D0187">
            <w:pPr>
              <w:spacing w:before="40" w:after="40"/>
              <w:jc w:val="center"/>
            </w:pPr>
            <w:r>
              <w:rPr>
                <w:color w:val="1A1A2E"/>
                <w:sz w:val="18"/>
              </w:rPr>
              <w:t>54,488</w:t>
            </w:r>
          </w:p>
        </w:tc>
        <w:tc>
          <w:tcPr>
            <w:tcW w:w="1200" w:type="dxa"/>
            <w:vAlign w:val="center"/>
          </w:tcPr>
          <w:p w14:paraId="0C56CA16">
            <w:pPr>
              <w:spacing w:before="40" w:after="40"/>
              <w:jc w:val="center"/>
            </w:pPr>
            <w:r>
              <w:rPr>
                <w:color w:val="1A1A2E"/>
                <w:sz w:val="18"/>
              </w:rPr>
              <w:t>-0.003</w:t>
            </w:r>
          </w:p>
        </w:tc>
        <w:tc>
          <w:tcPr>
            <w:tcW w:w="1200" w:type="dxa"/>
            <w:vAlign w:val="center"/>
          </w:tcPr>
          <w:p w14:paraId="05DFA52E">
            <w:pPr>
              <w:spacing w:before="40" w:after="40"/>
              <w:jc w:val="center"/>
            </w:pPr>
            <w:r>
              <w:rPr>
                <w:color w:val="1A1A2E"/>
                <w:sz w:val="18"/>
              </w:rPr>
              <w:t>0.104</w:t>
            </w:r>
          </w:p>
        </w:tc>
        <w:tc>
          <w:tcPr>
            <w:tcW w:w="1200" w:type="dxa"/>
            <w:vAlign w:val="center"/>
          </w:tcPr>
          <w:p w14:paraId="74B3593E">
            <w:pPr>
              <w:spacing w:before="40" w:after="40"/>
              <w:jc w:val="center"/>
            </w:pPr>
            <w:r>
              <w:rPr>
                <w:color w:val="1A1A2E"/>
                <w:sz w:val="18"/>
              </w:rPr>
              <w:t>-0.389</w:t>
            </w:r>
          </w:p>
        </w:tc>
        <w:tc>
          <w:tcPr>
            <w:tcW w:w="1200" w:type="dxa"/>
            <w:vAlign w:val="center"/>
          </w:tcPr>
          <w:p w14:paraId="71BA9174">
            <w:pPr>
              <w:spacing w:before="40" w:after="40"/>
              <w:jc w:val="center"/>
            </w:pPr>
            <w:r>
              <w:rPr>
                <w:color w:val="1A1A2E"/>
                <w:sz w:val="18"/>
              </w:rPr>
              <w:t>0.617</w:t>
            </w:r>
          </w:p>
        </w:tc>
      </w:tr>
      <w:tr w14:paraId="5544DCA9">
        <w:tc>
          <w:tcPr>
            <w:tcW w:w="2000" w:type="dxa"/>
            <w:vAlign w:val="center"/>
          </w:tcPr>
          <w:p w14:paraId="3D78B239">
            <w:pPr>
              <w:spacing w:before="40" w:after="40"/>
              <w:jc w:val="left"/>
            </w:pPr>
            <w:r>
              <w:rPr>
                <w:color w:val="1A1A2E"/>
                <w:sz w:val="18"/>
              </w:rPr>
              <w:t>AI_Exposure (%)</w:t>
            </w:r>
          </w:p>
        </w:tc>
        <w:tc>
          <w:tcPr>
            <w:tcW w:w="1200" w:type="dxa"/>
            <w:vAlign w:val="center"/>
          </w:tcPr>
          <w:p w14:paraId="740C9453">
            <w:pPr>
              <w:spacing w:before="40" w:after="40"/>
              <w:jc w:val="center"/>
            </w:pPr>
            <w:r>
              <w:rPr>
                <w:color w:val="1A1A2E"/>
                <w:sz w:val="18"/>
              </w:rPr>
              <w:t>54,488</w:t>
            </w:r>
          </w:p>
        </w:tc>
        <w:tc>
          <w:tcPr>
            <w:tcW w:w="1200" w:type="dxa"/>
            <w:vAlign w:val="center"/>
          </w:tcPr>
          <w:p w14:paraId="3AFFCD91">
            <w:pPr>
              <w:spacing w:before="40" w:after="40"/>
              <w:jc w:val="center"/>
            </w:pPr>
            <w:r>
              <w:rPr>
                <w:color w:val="1A1A2E"/>
                <w:sz w:val="18"/>
              </w:rPr>
              <w:t>52.47</w:t>
            </w:r>
          </w:p>
        </w:tc>
        <w:tc>
          <w:tcPr>
            <w:tcW w:w="1200" w:type="dxa"/>
            <w:vAlign w:val="center"/>
          </w:tcPr>
          <w:p w14:paraId="3FC08E65">
            <w:pPr>
              <w:spacing w:before="40" w:after="40"/>
              <w:jc w:val="center"/>
            </w:pPr>
            <w:r>
              <w:rPr>
                <w:color w:val="1A1A2E"/>
                <w:sz w:val="18"/>
              </w:rPr>
              <w:t>23.48</w:t>
            </w:r>
          </w:p>
        </w:tc>
        <w:tc>
          <w:tcPr>
            <w:tcW w:w="1200" w:type="dxa"/>
            <w:vAlign w:val="center"/>
          </w:tcPr>
          <w:p w14:paraId="0CAE05B1">
            <w:pPr>
              <w:spacing w:before="40" w:after="40"/>
              <w:jc w:val="center"/>
            </w:pPr>
            <w:r>
              <w:rPr>
                <w:color w:val="1A1A2E"/>
                <w:sz w:val="18"/>
              </w:rPr>
              <w:t>0.00</w:t>
            </w:r>
          </w:p>
        </w:tc>
        <w:tc>
          <w:tcPr>
            <w:tcW w:w="1200" w:type="dxa"/>
            <w:vAlign w:val="center"/>
          </w:tcPr>
          <w:p w14:paraId="73E76EC4">
            <w:pPr>
              <w:spacing w:before="40" w:after="40"/>
              <w:jc w:val="center"/>
            </w:pPr>
            <w:r>
              <w:rPr>
                <w:color w:val="1A1A2E"/>
                <w:sz w:val="18"/>
              </w:rPr>
              <w:t>100.00</w:t>
            </w:r>
          </w:p>
        </w:tc>
      </w:tr>
      <w:tr w14:paraId="50378C88">
        <w:tc>
          <w:tcPr>
            <w:tcW w:w="2000" w:type="dxa"/>
            <w:vAlign w:val="center"/>
          </w:tcPr>
          <w:p w14:paraId="07517737">
            <w:pPr>
              <w:spacing w:before="40" w:after="40"/>
              <w:jc w:val="left"/>
            </w:pPr>
            <w:r>
              <w:rPr>
                <w:color w:val="1A1A2E"/>
                <w:sz w:val="18"/>
              </w:rPr>
              <w:t>AI_Exposure_std</w:t>
            </w:r>
          </w:p>
        </w:tc>
        <w:tc>
          <w:tcPr>
            <w:tcW w:w="1200" w:type="dxa"/>
            <w:vAlign w:val="center"/>
          </w:tcPr>
          <w:p w14:paraId="54C74F38">
            <w:pPr>
              <w:spacing w:before="40" w:after="40"/>
              <w:jc w:val="center"/>
            </w:pPr>
            <w:r>
              <w:rPr>
                <w:color w:val="1A1A2E"/>
                <w:sz w:val="18"/>
              </w:rPr>
              <w:t>54,488</w:t>
            </w:r>
          </w:p>
        </w:tc>
        <w:tc>
          <w:tcPr>
            <w:tcW w:w="1200" w:type="dxa"/>
            <w:vAlign w:val="center"/>
          </w:tcPr>
          <w:p w14:paraId="24EC4939">
            <w:pPr>
              <w:spacing w:before="40" w:after="40"/>
              <w:jc w:val="center"/>
            </w:pPr>
            <w:r>
              <w:rPr>
                <w:color w:val="1A1A2E"/>
                <w:sz w:val="18"/>
              </w:rPr>
              <w:t>0.00</w:t>
            </w:r>
          </w:p>
        </w:tc>
        <w:tc>
          <w:tcPr>
            <w:tcW w:w="1200" w:type="dxa"/>
            <w:vAlign w:val="center"/>
          </w:tcPr>
          <w:p w14:paraId="74FAE7D0">
            <w:pPr>
              <w:spacing w:before="40" w:after="40"/>
              <w:jc w:val="center"/>
            </w:pPr>
            <w:r>
              <w:rPr>
                <w:color w:val="1A1A2E"/>
                <w:sz w:val="18"/>
              </w:rPr>
              <w:t>1.00</w:t>
            </w:r>
          </w:p>
        </w:tc>
        <w:tc>
          <w:tcPr>
            <w:tcW w:w="1200" w:type="dxa"/>
            <w:vAlign w:val="center"/>
          </w:tcPr>
          <w:p w14:paraId="338F001F">
            <w:pPr>
              <w:spacing w:before="40" w:after="40"/>
              <w:jc w:val="center"/>
            </w:pPr>
            <w:r>
              <w:rPr>
                <w:color w:val="1A1A2E"/>
                <w:sz w:val="18"/>
              </w:rPr>
              <w:t>-2.23</w:t>
            </w:r>
          </w:p>
        </w:tc>
        <w:tc>
          <w:tcPr>
            <w:tcW w:w="1200" w:type="dxa"/>
            <w:vAlign w:val="center"/>
          </w:tcPr>
          <w:p w14:paraId="3B5897E6">
            <w:pPr>
              <w:spacing w:before="40" w:after="40"/>
              <w:jc w:val="center"/>
            </w:pPr>
            <w:r>
              <w:rPr>
                <w:color w:val="1A1A2E"/>
                <w:sz w:val="18"/>
              </w:rPr>
              <w:t>2.02</w:t>
            </w:r>
          </w:p>
        </w:tc>
      </w:tr>
      <w:tr w14:paraId="5E85984F">
        <w:tc>
          <w:tcPr>
            <w:tcW w:w="2000" w:type="dxa"/>
            <w:vAlign w:val="center"/>
          </w:tcPr>
          <w:p w14:paraId="3A9265AF">
            <w:pPr>
              <w:spacing w:before="40" w:after="40"/>
              <w:jc w:val="left"/>
            </w:pPr>
            <w:r>
              <w:rPr>
                <w:color w:val="1A1A2E"/>
                <w:sz w:val="18"/>
              </w:rPr>
              <w:t>log_tna_lag</w:t>
            </w:r>
          </w:p>
        </w:tc>
        <w:tc>
          <w:tcPr>
            <w:tcW w:w="1200" w:type="dxa"/>
            <w:vAlign w:val="center"/>
          </w:tcPr>
          <w:p w14:paraId="63735F90">
            <w:pPr>
              <w:spacing w:before="40" w:after="40"/>
              <w:jc w:val="center"/>
            </w:pPr>
            <w:r>
              <w:rPr>
                <w:color w:val="1A1A2E"/>
                <w:sz w:val="18"/>
              </w:rPr>
              <w:t>54,488</w:t>
            </w:r>
          </w:p>
        </w:tc>
        <w:tc>
          <w:tcPr>
            <w:tcW w:w="1200" w:type="dxa"/>
            <w:vAlign w:val="center"/>
          </w:tcPr>
          <w:p w14:paraId="23C65B5E">
            <w:pPr>
              <w:spacing w:before="40" w:after="40"/>
              <w:jc w:val="center"/>
            </w:pPr>
            <w:r>
              <w:rPr>
                <w:color w:val="1A1A2E"/>
                <w:sz w:val="18"/>
              </w:rPr>
              <w:t>4.85</w:t>
            </w:r>
          </w:p>
        </w:tc>
        <w:tc>
          <w:tcPr>
            <w:tcW w:w="1200" w:type="dxa"/>
            <w:vAlign w:val="center"/>
          </w:tcPr>
          <w:p w14:paraId="4B581599">
            <w:pPr>
              <w:spacing w:before="40" w:after="40"/>
              <w:jc w:val="center"/>
            </w:pPr>
            <w:r>
              <w:rPr>
                <w:color w:val="1A1A2E"/>
                <w:sz w:val="18"/>
              </w:rPr>
              <w:t>2.12</w:t>
            </w:r>
          </w:p>
        </w:tc>
        <w:tc>
          <w:tcPr>
            <w:tcW w:w="1200" w:type="dxa"/>
            <w:vAlign w:val="center"/>
          </w:tcPr>
          <w:p w14:paraId="298763F7">
            <w:pPr>
              <w:spacing w:before="40" w:after="40"/>
              <w:jc w:val="center"/>
            </w:pPr>
            <w:r>
              <w:rPr>
                <w:color w:val="1A1A2E"/>
                <w:sz w:val="18"/>
              </w:rPr>
              <w:t>-2.30</w:t>
            </w:r>
          </w:p>
        </w:tc>
        <w:tc>
          <w:tcPr>
            <w:tcW w:w="1200" w:type="dxa"/>
            <w:vAlign w:val="center"/>
          </w:tcPr>
          <w:p w14:paraId="4670F303">
            <w:pPr>
              <w:spacing w:before="40" w:after="40"/>
              <w:jc w:val="center"/>
            </w:pPr>
            <w:r>
              <w:rPr>
                <w:color w:val="1A1A2E"/>
                <w:sz w:val="18"/>
              </w:rPr>
              <w:t>12.34</w:t>
            </w:r>
          </w:p>
        </w:tc>
      </w:tr>
      <w:tr w14:paraId="43D3E570">
        <w:tc>
          <w:tcPr>
            <w:tcW w:w="2000" w:type="dxa"/>
            <w:vAlign w:val="center"/>
          </w:tcPr>
          <w:p w14:paraId="7DB04D1B">
            <w:pPr>
              <w:spacing w:before="40" w:after="40"/>
              <w:jc w:val="left"/>
            </w:pPr>
            <w:r>
              <w:rPr>
                <w:color w:val="1A1A2E"/>
                <w:sz w:val="18"/>
              </w:rPr>
              <w:t>mret_lag (%)</w:t>
            </w:r>
          </w:p>
        </w:tc>
        <w:tc>
          <w:tcPr>
            <w:tcW w:w="1200" w:type="dxa"/>
            <w:vAlign w:val="center"/>
          </w:tcPr>
          <w:p w14:paraId="4F829AE2">
            <w:pPr>
              <w:spacing w:before="40" w:after="40"/>
              <w:jc w:val="center"/>
            </w:pPr>
            <w:r>
              <w:rPr>
                <w:color w:val="1A1A2E"/>
                <w:sz w:val="18"/>
              </w:rPr>
              <w:t>54,488</w:t>
            </w:r>
          </w:p>
        </w:tc>
        <w:tc>
          <w:tcPr>
            <w:tcW w:w="1200" w:type="dxa"/>
            <w:vAlign w:val="center"/>
          </w:tcPr>
          <w:p w14:paraId="1AA09C99">
            <w:pPr>
              <w:spacing w:before="40" w:after="40"/>
              <w:jc w:val="center"/>
            </w:pPr>
            <w:r>
              <w:rPr>
                <w:color w:val="1A1A2E"/>
                <w:sz w:val="18"/>
              </w:rPr>
              <w:t>0.42</w:t>
            </w:r>
          </w:p>
        </w:tc>
        <w:tc>
          <w:tcPr>
            <w:tcW w:w="1200" w:type="dxa"/>
            <w:vAlign w:val="center"/>
          </w:tcPr>
          <w:p w14:paraId="04836FDB">
            <w:pPr>
              <w:spacing w:before="40" w:after="40"/>
              <w:jc w:val="center"/>
            </w:pPr>
            <w:r>
              <w:rPr>
                <w:color w:val="1A1A2E"/>
                <w:sz w:val="18"/>
              </w:rPr>
              <w:t>4.89</w:t>
            </w:r>
          </w:p>
        </w:tc>
        <w:tc>
          <w:tcPr>
            <w:tcW w:w="1200" w:type="dxa"/>
            <w:vAlign w:val="center"/>
          </w:tcPr>
          <w:p w14:paraId="34E1153F">
            <w:pPr>
              <w:spacing w:before="40" w:after="40"/>
              <w:jc w:val="center"/>
            </w:pPr>
            <w:r>
              <w:rPr>
                <w:color w:val="1A1A2E"/>
                <w:sz w:val="18"/>
              </w:rPr>
              <w:t>-28.45</w:t>
            </w:r>
          </w:p>
        </w:tc>
        <w:tc>
          <w:tcPr>
            <w:tcW w:w="1200" w:type="dxa"/>
            <w:vAlign w:val="center"/>
          </w:tcPr>
          <w:p w14:paraId="0F56186A">
            <w:pPr>
              <w:spacing w:before="40" w:after="40"/>
              <w:jc w:val="center"/>
            </w:pPr>
            <w:r>
              <w:rPr>
                <w:color w:val="1A1A2E"/>
                <w:sz w:val="18"/>
              </w:rPr>
              <w:t>35.67</w:t>
            </w:r>
          </w:p>
        </w:tc>
      </w:tr>
    </w:tbl>
    <w:p w14:paraId="11AFC206">
      <w:pPr>
        <w:pBdr>
          <w:left w:val="single" w:color="2E5C8A" w:sz="18" w:space="0"/>
        </w:pBdr>
        <w:shd w:val="clear" w:fill="F0F5FA"/>
        <w:spacing w:before="120" w:after="200"/>
        <w:ind w:left="200" w:right="200"/>
      </w:pPr>
      <w:r>
        <w:rPr>
          <w:b/>
          <w:color w:val="2E5C8A"/>
          <w:sz w:val="20"/>
        </w:rPr>
        <w:t>Key Points</w:t>
      </w:r>
      <w:r>
        <w:br w:type="textWrapping"/>
      </w:r>
      <w:r>
        <w:t>Fund flows average close to zero with some variation. AI exposure averages about 52% across funds. Past returns average 0.42% per month. These statistics look reasonable and match what we expect from mutual fund data.</w:t>
      </w:r>
    </w:p>
    <w:p w14:paraId="3FF70FEB">
      <w:r>
        <w:br w:type="page"/>
      </w:r>
    </w:p>
    <w:p w14:paraId="27C4FB2D">
      <w:pPr>
        <w:shd w:val="clear" w:fill="1E3A5F"/>
        <w:spacing w:before="0" w:after="0"/>
      </w:pPr>
      <w:r>
        <w:rPr>
          <w:b/>
          <w:color w:val="FFFFFF"/>
          <w:sz w:val="28"/>
        </w:rPr>
        <w:t xml:space="preserve">  SLIDE 14: TABLE 2 - CORRELATION MATRIX</w:t>
      </w:r>
    </w:p>
    <w:p w14:paraId="4E930A24">
      <w:pPr>
        <w:shd w:val="clear" w:fill="FFF9E6"/>
        <w:spacing w:before="0" w:after="200"/>
      </w:pPr>
      <w:r>
        <w:rPr>
          <w:b/>
          <w:color w:val="6B2737"/>
          <w:sz w:val="20"/>
        </w:rPr>
        <w:t xml:space="preserve">  Time: Continue 1 minute</w:t>
      </w:r>
    </w:p>
    <w:p w14:paraId="52977E66">
      <w:pPr>
        <w:spacing w:before="240" w:after="80"/>
      </w:pPr>
      <w:r>
        <w:rPr>
          <w:b/>
          <w:color w:val="6B2737"/>
          <w:sz w:val="22"/>
        </w:rPr>
        <w:t>Key Correlations</w:t>
      </w:r>
    </w:p>
    <w:p w14:paraId="223106CE">
      <w:pPr>
        <w:pBdr>
          <w:left w:val="single" w:color="1E3A5F" w:sz="12" w:space="0"/>
        </w:pBdr>
        <w:shd w:val="clear" w:fill="F8FAFC"/>
        <w:spacing w:before="80" w:after="120"/>
        <w:ind w:left="200" w:right="200"/>
      </w:pPr>
      <w:r>
        <w:rPr>
          <w:b/>
          <w:color w:val="1E3A5F"/>
        </w:rPr>
        <w:t>1. Performance Chasing:</w:t>
      </w:r>
      <w:r>
        <w:t>Flow and past return have correlation of 0.15***. This confirms investors chase past performance.</w:t>
      </w:r>
    </w:p>
    <w:p w14:paraId="27004DAD">
      <w:pPr>
        <w:pBdr>
          <w:left w:val="single" w:color="1E3A5F" w:sz="12" w:space="0"/>
        </w:pBdr>
        <w:shd w:val="clear" w:fill="F8FAFC"/>
        <w:spacing w:before="80" w:after="120"/>
        <w:ind w:left="200" w:right="200"/>
      </w:pPr>
      <w:r>
        <w:rPr>
          <w:b/>
          <w:color w:val="1E3A5F"/>
        </w:rPr>
        <w:t>2. No Multicollinearity:</w:t>
      </w:r>
      <w:r>
        <w:t>AI exposure has low correlation with control variables (all below 0.08). This is good for our analysis.</w:t>
      </w:r>
    </w:p>
    <w:p w14:paraId="1D8D3D55">
      <w:pPr>
        <w:pBdr>
          <w:left w:val="single" w:color="1E3A5F" w:sz="12" w:space="0"/>
        </w:pBdr>
        <w:shd w:val="clear" w:fill="F8FAFC"/>
        <w:spacing w:before="80" w:after="120"/>
        <w:ind w:left="200" w:right="200"/>
      </w:pPr>
      <w:r>
        <w:rPr>
          <w:b/>
          <w:color w:val="1E3A5F"/>
        </w:rPr>
        <w:t>3. Size Effect:</w:t>
      </w:r>
      <w:r>
        <w:t>Flow and fund size have negative correlation (-0.05***). Larger funds get lower flows, which is expected.</w:t>
      </w:r>
    </w:p>
    <w:p w14:paraId="1923071F">
      <w:pPr>
        <w:pBdr>
          <w:left w:val="single" w:color="2E5C8A" w:sz="18" w:space="0"/>
        </w:pBdr>
        <w:shd w:val="clear" w:fill="F0F5FA"/>
        <w:spacing w:before="120" w:after="200"/>
        <w:ind w:left="200" w:right="200"/>
      </w:pPr>
      <w:r>
        <w:rPr>
          <w:b/>
          <w:color w:val="2E5C8A"/>
          <w:sz w:val="20"/>
        </w:rPr>
        <w:t>Conclusion</w:t>
      </w:r>
      <w:r>
        <w:br w:type="textWrapping"/>
      </w:r>
      <w:r>
        <w:t>The correlation matrix shows our variables are not too highly correlated. This means our regression results should be reliable.</w:t>
      </w:r>
    </w:p>
    <w:p w14:paraId="7080EF8C">
      <w:r>
        <w:br w:type="page"/>
      </w:r>
    </w:p>
    <w:p w14:paraId="5E95D56E">
      <w:pPr>
        <w:shd w:val="clear" w:fill="1E3A5F"/>
        <w:spacing w:before="0" w:after="0"/>
      </w:pPr>
      <w:r>
        <w:rPr>
          <w:b/>
          <w:color w:val="FFFFFF"/>
          <w:sz w:val="28"/>
        </w:rPr>
        <w:t xml:space="preserve">  SLIDE 15: TABLE 3 - MAIN REGRESSION RESULTS (H1)</w:t>
      </w:r>
    </w:p>
    <w:p w14:paraId="2913A9CA">
      <w:pPr>
        <w:shd w:val="clear" w:fill="FFF9E6"/>
        <w:spacing w:before="0" w:after="200"/>
      </w:pPr>
      <w:r>
        <w:rPr>
          <w:b/>
          <w:color w:val="6B2737"/>
          <w:sz w:val="20"/>
        </w:rPr>
        <w:t xml:space="preserve">  Time: 3 minutes</w:t>
      </w:r>
    </w:p>
    <w:p w14:paraId="05AEC65E">
      <w:pPr>
        <w:spacing w:before="240" w:after="80"/>
      </w:pPr>
      <w:r>
        <w:rPr>
          <w:b/>
          <w:color w:val="6B2737"/>
          <w:sz w:val="22"/>
        </w:rPr>
        <w:t>Results for Hypothesis 1</w:t>
      </w:r>
    </w:p>
    <w:tbl>
      <w:tblPr>
        <w:tblStyle w:val="4"/>
        <w:tblW w:w="5000" w:type="pct"/>
        <w:tblInd w:w="0" w:type="dxa"/>
        <w:tblBorders>
          <w:top w:val="single" w:color="1E3A5F" w:sz="8" w:space="0"/>
          <w:left w:val="none" w:color="auto" w:sz="0" w:space="0"/>
          <w:bottom w:val="single" w:color="1E3A5F" w:sz="8"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800"/>
        <w:gridCol w:w="1600"/>
        <w:gridCol w:w="1600"/>
        <w:gridCol w:w="1600"/>
      </w:tblGrid>
      <w:tr w14:paraId="5A9EEA1F">
        <w:tc>
          <w:tcPr>
            <w:tcW w:w="2800" w:type="dxa"/>
            <w:shd w:val="clear" w:color="auto" w:fill="E8EEF4"/>
            <w:vAlign w:val="center"/>
          </w:tcPr>
          <w:p w14:paraId="0EDA8B80">
            <w:pPr>
              <w:spacing w:before="40" w:after="40"/>
              <w:jc w:val="left"/>
            </w:pPr>
            <w:r>
              <w:rPr>
                <w:b/>
                <w:color w:val="1A1A2E"/>
                <w:sz w:val="18"/>
              </w:rPr>
              <w:t>Variable</w:t>
            </w:r>
          </w:p>
        </w:tc>
        <w:tc>
          <w:tcPr>
            <w:tcW w:w="1600" w:type="dxa"/>
            <w:shd w:val="clear" w:color="auto" w:fill="E8EEF4"/>
            <w:vAlign w:val="center"/>
          </w:tcPr>
          <w:p w14:paraId="777D6789">
            <w:pPr>
              <w:spacing w:before="40" w:after="40"/>
              <w:jc w:val="center"/>
            </w:pPr>
            <w:r>
              <w:rPr>
                <w:b/>
                <w:color w:val="1A1A2E"/>
                <w:sz w:val="18"/>
              </w:rPr>
              <w:t>(1) OLS</w:t>
            </w:r>
          </w:p>
        </w:tc>
        <w:tc>
          <w:tcPr>
            <w:tcW w:w="1600" w:type="dxa"/>
            <w:shd w:val="clear" w:color="auto" w:fill="E8EEF4"/>
            <w:vAlign w:val="center"/>
          </w:tcPr>
          <w:p w14:paraId="02262A03">
            <w:pPr>
              <w:spacing w:before="40" w:after="40"/>
              <w:jc w:val="center"/>
            </w:pPr>
            <w:r>
              <w:rPr>
                <w:b/>
                <w:color w:val="1A1A2E"/>
                <w:sz w:val="18"/>
              </w:rPr>
              <w:t>(2) OLS+Ctrl</w:t>
            </w:r>
          </w:p>
        </w:tc>
        <w:tc>
          <w:tcPr>
            <w:tcW w:w="1600" w:type="dxa"/>
            <w:shd w:val="clear" w:color="auto" w:fill="E8EEF4"/>
            <w:vAlign w:val="center"/>
          </w:tcPr>
          <w:p w14:paraId="05FFE710">
            <w:pPr>
              <w:spacing w:before="40" w:after="40"/>
              <w:jc w:val="center"/>
            </w:pPr>
            <w:r>
              <w:rPr>
                <w:b/>
                <w:color w:val="1A1A2E"/>
                <w:sz w:val="18"/>
              </w:rPr>
              <w:t>(3) Panel FE</w:t>
            </w:r>
          </w:p>
        </w:tc>
      </w:tr>
      <w:tr w14:paraId="301ECA68">
        <w:tc>
          <w:tcPr>
            <w:tcW w:w="2800" w:type="dxa"/>
            <w:vAlign w:val="center"/>
          </w:tcPr>
          <w:p w14:paraId="45F60142">
            <w:pPr>
              <w:spacing w:before="40" w:after="40"/>
              <w:jc w:val="left"/>
            </w:pPr>
            <w:r>
              <w:rPr>
                <w:color w:val="1A1A2E"/>
                <w:sz w:val="18"/>
              </w:rPr>
              <w:t>AI_Exp x Post</w:t>
            </w:r>
          </w:p>
        </w:tc>
        <w:tc>
          <w:tcPr>
            <w:tcW w:w="1600" w:type="dxa"/>
            <w:vAlign w:val="center"/>
          </w:tcPr>
          <w:p w14:paraId="7AE27956">
            <w:pPr>
              <w:spacing w:before="40" w:after="40"/>
              <w:jc w:val="center"/>
            </w:pPr>
            <w:r>
              <w:rPr>
                <w:color w:val="1A1A2E"/>
                <w:sz w:val="18"/>
              </w:rPr>
              <w:t>0.0024***</w:t>
            </w:r>
          </w:p>
        </w:tc>
        <w:tc>
          <w:tcPr>
            <w:tcW w:w="1600" w:type="dxa"/>
            <w:vAlign w:val="center"/>
          </w:tcPr>
          <w:p w14:paraId="6CF6E0F6">
            <w:pPr>
              <w:spacing w:before="40" w:after="40"/>
              <w:jc w:val="center"/>
            </w:pPr>
            <w:r>
              <w:rPr>
                <w:color w:val="1A1A2E"/>
                <w:sz w:val="18"/>
              </w:rPr>
              <w:t>0.0023***</w:t>
            </w:r>
          </w:p>
        </w:tc>
        <w:tc>
          <w:tcPr>
            <w:tcW w:w="1600" w:type="dxa"/>
            <w:vAlign w:val="center"/>
          </w:tcPr>
          <w:p w14:paraId="10B7EBE9">
            <w:pPr>
              <w:spacing w:before="40" w:after="40"/>
              <w:jc w:val="center"/>
            </w:pPr>
            <w:r>
              <w:rPr>
                <w:color w:val="1A1A2E"/>
                <w:sz w:val="18"/>
              </w:rPr>
              <w:t>0.0053***</w:t>
            </w:r>
          </w:p>
        </w:tc>
      </w:tr>
      <w:tr w14:paraId="5373D705">
        <w:tc>
          <w:tcPr>
            <w:tcW w:w="2800" w:type="dxa"/>
            <w:vAlign w:val="center"/>
          </w:tcPr>
          <w:p w14:paraId="4C91F507">
            <w:pPr>
              <w:spacing w:before="40" w:after="40"/>
              <w:jc w:val="left"/>
            </w:pPr>
          </w:p>
        </w:tc>
        <w:tc>
          <w:tcPr>
            <w:tcW w:w="1600" w:type="dxa"/>
            <w:vAlign w:val="center"/>
          </w:tcPr>
          <w:p w14:paraId="6DD07DB5">
            <w:pPr>
              <w:spacing w:before="40" w:after="40"/>
              <w:jc w:val="center"/>
            </w:pPr>
            <w:r>
              <w:rPr>
                <w:color w:val="1A1A2E"/>
                <w:sz w:val="18"/>
              </w:rPr>
              <w:t>(0.0008)</w:t>
            </w:r>
          </w:p>
        </w:tc>
        <w:tc>
          <w:tcPr>
            <w:tcW w:w="1600" w:type="dxa"/>
            <w:vAlign w:val="center"/>
          </w:tcPr>
          <w:p w14:paraId="436ACE31">
            <w:pPr>
              <w:spacing w:before="40" w:after="40"/>
              <w:jc w:val="center"/>
            </w:pPr>
            <w:r>
              <w:rPr>
                <w:color w:val="1A1A2E"/>
                <w:sz w:val="18"/>
              </w:rPr>
              <w:t>(0.0008)</w:t>
            </w:r>
          </w:p>
        </w:tc>
        <w:tc>
          <w:tcPr>
            <w:tcW w:w="1600" w:type="dxa"/>
            <w:vAlign w:val="center"/>
          </w:tcPr>
          <w:p w14:paraId="5CC15D60">
            <w:pPr>
              <w:spacing w:before="40" w:after="40"/>
              <w:jc w:val="center"/>
            </w:pPr>
            <w:r>
              <w:rPr>
                <w:color w:val="1A1A2E"/>
                <w:sz w:val="18"/>
              </w:rPr>
              <w:t>(0.0009)</w:t>
            </w:r>
          </w:p>
        </w:tc>
      </w:tr>
      <w:tr w14:paraId="41D45564">
        <w:tc>
          <w:tcPr>
            <w:tcW w:w="2800" w:type="dxa"/>
            <w:vAlign w:val="center"/>
          </w:tcPr>
          <w:p w14:paraId="7EC7E307">
            <w:pPr>
              <w:spacing w:before="40" w:after="40"/>
              <w:jc w:val="left"/>
            </w:pPr>
            <w:r>
              <w:rPr>
                <w:color w:val="1A1A2E"/>
                <w:sz w:val="18"/>
              </w:rPr>
              <w:t>log_tna_lag</w:t>
            </w:r>
          </w:p>
        </w:tc>
        <w:tc>
          <w:tcPr>
            <w:tcW w:w="1600" w:type="dxa"/>
            <w:vAlign w:val="center"/>
          </w:tcPr>
          <w:p w14:paraId="66723793">
            <w:pPr>
              <w:spacing w:before="40" w:after="40"/>
              <w:jc w:val="center"/>
            </w:pPr>
          </w:p>
        </w:tc>
        <w:tc>
          <w:tcPr>
            <w:tcW w:w="1600" w:type="dxa"/>
            <w:vAlign w:val="center"/>
          </w:tcPr>
          <w:p w14:paraId="68273F82">
            <w:pPr>
              <w:spacing w:before="40" w:after="40"/>
              <w:jc w:val="center"/>
            </w:pPr>
            <w:r>
              <w:rPr>
                <w:color w:val="1A1A2E"/>
                <w:sz w:val="18"/>
              </w:rPr>
              <w:t>-0.0011***</w:t>
            </w:r>
          </w:p>
        </w:tc>
        <w:tc>
          <w:tcPr>
            <w:tcW w:w="1600" w:type="dxa"/>
            <w:vAlign w:val="center"/>
          </w:tcPr>
          <w:p w14:paraId="5B846D3C">
            <w:pPr>
              <w:spacing w:before="40" w:after="40"/>
              <w:jc w:val="center"/>
            </w:pPr>
            <w:r>
              <w:rPr>
                <w:color w:val="1A1A2E"/>
                <w:sz w:val="18"/>
              </w:rPr>
              <w:t>-0.0443***</w:t>
            </w:r>
          </w:p>
        </w:tc>
      </w:tr>
      <w:tr w14:paraId="5A7B85D1">
        <w:tc>
          <w:tcPr>
            <w:tcW w:w="2800" w:type="dxa"/>
            <w:vAlign w:val="center"/>
          </w:tcPr>
          <w:p w14:paraId="4CB196E2">
            <w:pPr>
              <w:spacing w:before="40" w:after="40"/>
              <w:jc w:val="left"/>
            </w:pPr>
            <w:r>
              <w:rPr>
                <w:color w:val="1A1A2E"/>
                <w:sz w:val="18"/>
              </w:rPr>
              <w:t>mret_lag</w:t>
            </w:r>
          </w:p>
        </w:tc>
        <w:tc>
          <w:tcPr>
            <w:tcW w:w="1600" w:type="dxa"/>
            <w:vAlign w:val="center"/>
          </w:tcPr>
          <w:p w14:paraId="1EB59F47">
            <w:pPr>
              <w:spacing w:before="40" w:after="40"/>
              <w:jc w:val="center"/>
            </w:pPr>
          </w:p>
        </w:tc>
        <w:tc>
          <w:tcPr>
            <w:tcW w:w="1600" w:type="dxa"/>
            <w:vAlign w:val="center"/>
          </w:tcPr>
          <w:p w14:paraId="1387FDBF">
            <w:pPr>
              <w:spacing w:before="40" w:after="40"/>
              <w:jc w:val="center"/>
            </w:pPr>
            <w:r>
              <w:rPr>
                <w:color w:val="1A1A2E"/>
                <w:sz w:val="18"/>
              </w:rPr>
              <w:t>0.0517***</w:t>
            </w:r>
          </w:p>
        </w:tc>
        <w:tc>
          <w:tcPr>
            <w:tcW w:w="1600" w:type="dxa"/>
            <w:vAlign w:val="center"/>
          </w:tcPr>
          <w:p w14:paraId="7EA04CE6">
            <w:pPr>
              <w:spacing w:before="40" w:after="40"/>
              <w:jc w:val="center"/>
            </w:pPr>
            <w:r>
              <w:rPr>
                <w:color w:val="1A1A2E"/>
                <w:sz w:val="18"/>
              </w:rPr>
              <w:t>0.1627***</w:t>
            </w:r>
          </w:p>
        </w:tc>
      </w:tr>
      <w:tr w14:paraId="181B34DD">
        <w:tc>
          <w:tcPr>
            <w:tcW w:w="2800" w:type="dxa"/>
            <w:vAlign w:val="center"/>
          </w:tcPr>
          <w:p w14:paraId="40644D2B">
            <w:pPr>
              <w:spacing w:before="40" w:after="40"/>
              <w:jc w:val="left"/>
            </w:pPr>
            <w:r>
              <w:rPr>
                <w:color w:val="1A1A2E"/>
                <w:sz w:val="18"/>
              </w:rPr>
              <w:t>Fund FE</w:t>
            </w:r>
          </w:p>
        </w:tc>
        <w:tc>
          <w:tcPr>
            <w:tcW w:w="1600" w:type="dxa"/>
            <w:vAlign w:val="center"/>
          </w:tcPr>
          <w:p w14:paraId="1208FE5B">
            <w:pPr>
              <w:spacing w:before="40" w:after="40"/>
              <w:jc w:val="center"/>
            </w:pPr>
            <w:r>
              <w:rPr>
                <w:color w:val="1A1A2E"/>
                <w:sz w:val="18"/>
              </w:rPr>
              <w:t>No</w:t>
            </w:r>
          </w:p>
        </w:tc>
        <w:tc>
          <w:tcPr>
            <w:tcW w:w="1600" w:type="dxa"/>
            <w:vAlign w:val="center"/>
          </w:tcPr>
          <w:p w14:paraId="784100AE">
            <w:pPr>
              <w:spacing w:before="40" w:after="40"/>
              <w:jc w:val="center"/>
            </w:pPr>
            <w:r>
              <w:rPr>
                <w:color w:val="1A1A2E"/>
                <w:sz w:val="18"/>
              </w:rPr>
              <w:t>No</w:t>
            </w:r>
          </w:p>
        </w:tc>
        <w:tc>
          <w:tcPr>
            <w:tcW w:w="1600" w:type="dxa"/>
            <w:vAlign w:val="center"/>
          </w:tcPr>
          <w:p w14:paraId="2DDF563E">
            <w:pPr>
              <w:spacing w:before="40" w:after="40"/>
              <w:jc w:val="center"/>
            </w:pPr>
            <w:r>
              <w:rPr>
                <w:color w:val="1A1A2E"/>
                <w:sz w:val="18"/>
              </w:rPr>
              <w:t>Yes</w:t>
            </w:r>
          </w:p>
        </w:tc>
      </w:tr>
      <w:tr w14:paraId="6335E571">
        <w:tc>
          <w:tcPr>
            <w:tcW w:w="2800" w:type="dxa"/>
            <w:vAlign w:val="center"/>
          </w:tcPr>
          <w:p w14:paraId="637513A5">
            <w:pPr>
              <w:spacing w:before="40" w:after="40"/>
              <w:jc w:val="left"/>
            </w:pPr>
            <w:r>
              <w:rPr>
                <w:color w:val="1A1A2E"/>
                <w:sz w:val="18"/>
              </w:rPr>
              <w:t>Time FE</w:t>
            </w:r>
          </w:p>
        </w:tc>
        <w:tc>
          <w:tcPr>
            <w:tcW w:w="1600" w:type="dxa"/>
            <w:vAlign w:val="center"/>
          </w:tcPr>
          <w:p w14:paraId="1DFEF1A1">
            <w:pPr>
              <w:spacing w:before="40" w:after="40"/>
              <w:jc w:val="center"/>
            </w:pPr>
            <w:r>
              <w:rPr>
                <w:color w:val="1A1A2E"/>
                <w:sz w:val="18"/>
              </w:rPr>
              <w:t>No</w:t>
            </w:r>
          </w:p>
        </w:tc>
        <w:tc>
          <w:tcPr>
            <w:tcW w:w="1600" w:type="dxa"/>
            <w:vAlign w:val="center"/>
          </w:tcPr>
          <w:p w14:paraId="1062E6FD">
            <w:pPr>
              <w:spacing w:before="40" w:after="40"/>
              <w:jc w:val="center"/>
            </w:pPr>
            <w:r>
              <w:rPr>
                <w:color w:val="1A1A2E"/>
                <w:sz w:val="18"/>
              </w:rPr>
              <w:t>No</w:t>
            </w:r>
          </w:p>
        </w:tc>
        <w:tc>
          <w:tcPr>
            <w:tcW w:w="1600" w:type="dxa"/>
            <w:vAlign w:val="center"/>
          </w:tcPr>
          <w:p w14:paraId="313180DF">
            <w:pPr>
              <w:spacing w:before="40" w:after="40"/>
              <w:jc w:val="center"/>
            </w:pPr>
            <w:r>
              <w:rPr>
                <w:color w:val="1A1A2E"/>
                <w:sz w:val="18"/>
              </w:rPr>
              <w:t>Yes</w:t>
            </w:r>
          </w:p>
        </w:tc>
      </w:tr>
      <w:tr w14:paraId="4241A3A7">
        <w:tc>
          <w:tcPr>
            <w:tcW w:w="2800" w:type="dxa"/>
            <w:vAlign w:val="center"/>
          </w:tcPr>
          <w:p w14:paraId="1401E668">
            <w:pPr>
              <w:spacing w:before="40" w:after="40"/>
              <w:jc w:val="left"/>
            </w:pPr>
            <w:r>
              <w:rPr>
                <w:color w:val="1A1A2E"/>
                <w:sz w:val="18"/>
              </w:rPr>
              <w:t>R-squared</w:t>
            </w:r>
          </w:p>
        </w:tc>
        <w:tc>
          <w:tcPr>
            <w:tcW w:w="1600" w:type="dxa"/>
            <w:vAlign w:val="center"/>
          </w:tcPr>
          <w:p w14:paraId="31874626">
            <w:pPr>
              <w:spacing w:before="40" w:after="40"/>
              <w:jc w:val="center"/>
            </w:pPr>
            <w:r>
              <w:rPr>
                <w:color w:val="1A1A2E"/>
                <w:sz w:val="18"/>
              </w:rPr>
              <w:t>0.001</w:t>
            </w:r>
          </w:p>
        </w:tc>
        <w:tc>
          <w:tcPr>
            <w:tcW w:w="1600" w:type="dxa"/>
            <w:vAlign w:val="center"/>
          </w:tcPr>
          <w:p w14:paraId="2A4401B8">
            <w:pPr>
              <w:spacing w:before="40" w:after="40"/>
              <w:jc w:val="center"/>
            </w:pPr>
            <w:r>
              <w:rPr>
                <w:color w:val="1A1A2E"/>
                <w:sz w:val="18"/>
              </w:rPr>
              <w:t>0.003</w:t>
            </w:r>
          </w:p>
        </w:tc>
        <w:tc>
          <w:tcPr>
            <w:tcW w:w="1600" w:type="dxa"/>
            <w:vAlign w:val="center"/>
          </w:tcPr>
          <w:p w14:paraId="1D366361">
            <w:pPr>
              <w:spacing w:before="40" w:after="40"/>
              <w:jc w:val="center"/>
            </w:pPr>
            <w:r>
              <w:rPr>
                <w:color w:val="1A1A2E"/>
                <w:sz w:val="18"/>
              </w:rPr>
              <w:t>0.0377</w:t>
            </w:r>
          </w:p>
        </w:tc>
      </w:tr>
      <w:tr w14:paraId="12ACEF60">
        <w:tc>
          <w:tcPr>
            <w:tcW w:w="2800" w:type="dxa"/>
            <w:vAlign w:val="center"/>
          </w:tcPr>
          <w:p w14:paraId="431EA7FD">
            <w:pPr>
              <w:spacing w:before="40" w:after="40"/>
              <w:jc w:val="left"/>
            </w:pPr>
            <w:r>
              <w:rPr>
                <w:color w:val="1A1A2E"/>
                <w:sz w:val="18"/>
              </w:rPr>
              <w:t>Observations</w:t>
            </w:r>
          </w:p>
        </w:tc>
        <w:tc>
          <w:tcPr>
            <w:tcW w:w="1600" w:type="dxa"/>
            <w:vAlign w:val="center"/>
          </w:tcPr>
          <w:p w14:paraId="322B4855">
            <w:pPr>
              <w:spacing w:before="40" w:after="40"/>
              <w:jc w:val="center"/>
            </w:pPr>
            <w:r>
              <w:rPr>
                <w:color w:val="1A1A2E"/>
                <w:sz w:val="18"/>
              </w:rPr>
              <w:t>54,488</w:t>
            </w:r>
          </w:p>
        </w:tc>
        <w:tc>
          <w:tcPr>
            <w:tcW w:w="1600" w:type="dxa"/>
            <w:vAlign w:val="center"/>
          </w:tcPr>
          <w:p w14:paraId="69809440">
            <w:pPr>
              <w:spacing w:before="40" w:after="40"/>
              <w:jc w:val="center"/>
            </w:pPr>
            <w:r>
              <w:rPr>
                <w:color w:val="1A1A2E"/>
                <w:sz w:val="18"/>
              </w:rPr>
              <w:t>54,488</w:t>
            </w:r>
          </w:p>
        </w:tc>
        <w:tc>
          <w:tcPr>
            <w:tcW w:w="1600" w:type="dxa"/>
            <w:vAlign w:val="center"/>
          </w:tcPr>
          <w:p w14:paraId="4CA3E766">
            <w:pPr>
              <w:spacing w:before="40" w:after="40"/>
              <w:jc w:val="center"/>
            </w:pPr>
            <w:r>
              <w:rPr>
                <w:color w:val="1A1A2E"/>
                <w:sz w:val="18"/>
              </w:rPr>
              <w:t>54,488</w:t>
            </w:r>
          </w:p>
        </w:tc>
      </w:tr>
    </w:tbl>
    <w:p w14:paraId="0A5229C6">
      <w:pPr>
        <w:spacing w:before="240" w:after="80"/>
      </w:pPr>
      <w:r>
        <w:rPr>
          <w:b/>
          <w:color w:val="6B2737"/>
          <w:sz w:val="22"/>
        </w:rPr>
        <w:t>Key Finding</w:t>
      </w:r>
    </w:p>
    <w:p w14:paraId="1AFE9A7F">
      <w:pPr>
        <w:pBdr>
          <w:left w:val="single" w:color="2E5C8A" w:sz="18" w:space="0"/>
        </w:pBdr>
        <w:shd w:val="clear" w:fill="F0F5FA"/>
        <w:spacing w:before="120" w:after="200"/>
        <w:ind w:left="200" w:right="200"/>
      </w:pPr>
      <w:r>
        <w:rPr>
          <w:b/>
          <w:color w:val="2E5C8A"/>
          <w:sz w:val="20"/>
        </w:rPr>
        <w:t>Main Result</w:t>
      </w:r>
      <w:r>
        <w:br w:type="textWrapping"/>
      </w:r>
      <w:r>
        <w:t>The AI_Exposure_std x Post coefficient is 0.0053*** in the full model. This is positive and highly significant (p &lt; 0.01). This strongly supports H1.</w:t>
      </w:r>
    </w:p>
    <w:p w14:paraId="43E0B60B">
      <w:pPr>
        <w:spacing w:before="240" w:after="80"/>
      </w:pPr>
      <w:r>
        <w:rPr>
          <w:b/>
          <w:color w:val="6B2737"/>
          <w:sz w:val="22"/>
        </w:rPr>
        <w:t>What This Means</w:t>
      </w:r>
    </w:p>
    <w:p w14:paraId="3A6595B4">
      <w:pPr>
        <w:pBdr>
          <w:left w:val="single" w:color="2E5C8A" w:sz="18" w:space="0"/>
        </w:pBdr>
        <w:shd w:val="clear" w:fill="F0F5FA"/>
        <w:spacing w:before="120" w:after="200"/>
        <w:ind w:left="200" w:right="200"/>
      </w:pPr>
      <w:r>
        <w:rPr>
          <w:b/>
          <w:color w:val="2E5C8A"/>
          <w:sz w:val="20"/>
        </w:rPr>
        <w:t>Interpretation</w:t>
      </w:r>
      <w:r>
        <w:br w:type="textWrapping"/>
      </w:r>
      <w:r>
        <w:t>One standard deviation increase in AI exposure leads to 0.53 percentage points higher monthly flows after ChatGPT. This is a meaningful effect size in the mutual fund context.</w:t>
      </w:r>
    </w:p>
    <w:p w14:paraId="1FFB0233">
      <w:pPr>
        <w:spacing w:before="240" w:after="80"/>
      </w:pPr>
      <w:r>
        <w:rPr>
          <w:b/>
          <w:color w:val="6B2737"/>
          <w:sz w:val="22"/>
        </w:rPr>
        <w:t>Control Variables</w:t>
      </w:r>
    </w:p>
    <w:p w14:paraId="0596C1ED">
      <w:pPr>
        <w:spacing w:after="60"/>
        <w:ind w:left="600" w:hanging="240"/>
      </w:pPr>
      <w:r>
        <w:t>• Fund size has negative effect: larger funds get lower flows</w:t>
      </w:r>
    </w:p>
    <w:p w14:paraId="3EA11122">
      <w:pPr>
        <w:spacing w:after="60"/>
        <w:ind w:left="600" w:hanging="240"/>
      </w:pPr>
      <w:r>
        <w:t>• Past return has positive effect: investors chase performance</w:t>
      </w:r>
    </w:p>
    <w:p w14:paraId="0E03D7E7">
      <w:r>
        <w:br w:type="page"/>
      </w:r>
    </w:p>
    <w:p w14:paraId="21E4C91C">
      <w:pPr>
        <w:shd w:val="clear" w:fill="1E3A5F"/>
        <w:spacing w:before="0" w:after="0"/>
      </w:pPr>
      <w:r>
        <w:rPr>
          <w:b/>
          <w:color w:val="FFFFFF"/>
          <w:sz w:val="28"/>
        </w:rPr>
        <w:t xml:space="preserve">  SLIDE 16: PARALLEL TRENDS CHECK</w:t>
      </w:r>
    </w:p>
    <w:p w14:paraId="08DFA513">
      <w:pPr>
        <w:shd w:val="clear" w:fill="FFF9E6"/>
        <w:spacing w:before="0" w:after="200"/>
      </w:pPr>
      <w:r>
        <w:rPr>
          <w:b/>
          <w:color w:val="6B2737"/>
          <w:sz w:val="20"/>
        </w:rPr>
        <w:t xml:space="preserve">  Time: Continue 3 minutes</w:t>
      </w:r>
    </w:p>
    <w:p w14:paraId="09415D07">
      <w:pPr>
        <w:spacing w:before="240" w:after="80"/>
      </w:pPr>
      <w:r>
        <w:rPr>
          <w:b/>
          <w:color w:val="6B2737"/>
          <w:sz w:val="22"/>
        </w:rPr>
        <w:t>Why This Matters</w:t>
      </w:r>
    </w:p>
    <w:p w14:paraId="34009102">
      <w:pPr>
        <w:pBdr>
          <w:left w:val="single" w:color="2E5C8A" w:sz="18" w:space="0"/>
        </w:pBdr>
        <w:shd w:val="clear" w:fill="F0F5FA"/>
        <w:spacing w:before="120" w:after="200"/>
        <w:ind w:left="200" w:right="200"/>
      </w:pPr>
      <w:r>
        <w:rPr>
          <w:b/>
          <w:color w:val="2E5C8A"/>
          <w:sz w:val="20"/>
        </w:rPr>
        <w:t>Explanation</w:t>
      </w:r>
      <w:r>
        <w:br w:type="textWrapping"/>
      </w:r>
      <w:r>
        <w:t>For our results to be valid, AI and non-AI funds must have similar trends before ChatGPT. If they were already different before, we cannot say ChatGPT caused the difference.</w:t>
      </w:r>
    </w:p>
    <w:p w14:paraId="38C9AB1F">
      <w:pPr>
        <w:spacing w:before="240" w:after="80"/>
      </w:pPr>
      <w:r>
        <w:rPr>
          <w:b/>
          <w:color w:val="6B2737"/>
          <w:sz w:val="22"/>
        </w:rPr>
        <w:t>What I Found</w:t>
      </w:r>
    </w:p>
    <w:p w14:paraId="38F1312C">
      <w:pPr>
        <w:pBdr>
          <w:left w:val="single" w:color="1E3A5F" w:sz="12" w:space="0"/>
        </w:pBdr>
        <w:shd w:val="clear" w:fill="F8FAFC"/>
        <w:spacing w:before="80" w:after="120"/>
        <w:ind w:left="200" w:right="200"/>
      </w:pPr>
      <w:r>
        <w:rPr>
          <w:b/>
          <w:color w:val="1E3A5F"/>
        </w:rPr>
        <w:t>1. Before ChatGPT:</w:t>
      </w:r>
      <w:r>
        <w:t>Coefficients are near zero and not significant. This means AI and non-AI funds had similar flow patterns before the shock.</w:t>
      </w:r>
    </w:p>
    <w:p w14:paraId="1B746B10">
      <w:pPr>
        <w:pBdr>
          <w:left w:val="single" w:color="1E3A5F" w:sz="12" w:space="0"/>
        </w:pBdr>
        <w:shd w:val="clear" w:fill="F8FAFC"/>
        <w:spacing w:before="80" w:after="120"/>
        <w:ind w:left="200" w:right="200"/>
      </w:pPr>
      <w:r>
        <w:rPr>
          <w:b/>
          <w:color w:val="1E3A5F"/>
        </w:rPr>
        <w:t>2. At ChatGPT Release:</w:t>
      </w:r>
      <w:r>
        <w:t>There is a sharp increase starting at month 0. This is exactly when ChatGPT came out.</w:t>
      </w:r>
    </w:p>
    <w:p w14:paraId="3A24CE16">
      <w:pPr>
        <w:pBdr>
          <w:left w:val="single" w:color="1E3A5F" w:sz="12" w:space="0"/>
        </w:pBdr>
        <w:shd w:val="clear" w:fill="F8FAFC"/>
        <w:spacing w:before="80" w:after="120"/>
        <w:ind w:left="200" w:right="200"/>
      </w:pPr>
      <w:r>
        <w:rPr>
          <w:b/>
          <w:color w:val="1E3A5F"/>
        </w:rPr>
        <w:t>3. After ChatGPT:</w:t>
      </w:r>
      <w:r>
        <w:t>Coefficients stay positive and significant. The effect persists over time.</w:t>
      </w:r>
    </w:p>
    <w:p w14:paraId="48E27D07">
      <w:pPr>
        <w:spacing w:before="240" w:after="80"/>
      </w:pPr>
      <w:r>
        <w:rPr>
          <w:b/>
          <w:color w:val="6B2737"/>
          <w:sz w:val="22"/>
        </w:rPr>
        <w:t>Conclusion</w:t>
      </w:r>
    </w:p>
    <w:p w14:paraId="58E48111">
      <w:pPr>
        <w:pBdr>
          <w:left w:val="single" w:color="2E5C8A" w:sz="18" w:space="0"/>
        </w:pBdr>
        <w:shd w:val="clear" w:fill="F0F5FA"/>
        <w:spacing w:before="120" w:after="200"/>
        <w:ind w:left="200" w:right="200"/>
      </w:pPr>
      <w:r>
        <w:rPr>
          <w:b/>
          <w:color w:val="2E5C8A"/>
          <w:sz w:val="20"/>
        </w:rPr>
        <w:t>Validation</w:t>
      </w:r>
      <w:r>
        <w:br w:type="textWrapping"/>
      </w:r>
      <w:r>
        <w:t>The parallel trends assumption is satisfied. This supports our causal interpretation: ChatGPT really did cause AI funds to get more money.</w:t>
      </w:r>
    </w:p>
    <w:p w14:paraId="4167A71E">
      <w:r>
        <w:br w:type="page"/>
      </w:r>
    </w:p>
    <w:p w14:paraId="4D862E83">
      <w:pPr>
        <w:shd w:val="clear" w:fill="1E3A5F"/>
        <w:spacing w:before="0" w:after="0"/>
      </w:pPr>
      <w:r>
        <w:rPr>
          <w:b/>
          <w:color w:val="FFFFFF"/>
          <w:sz w:val="28"/>
        </w:rPr>
        <w:t xml:space="preserve">  SLIDE 17: TABLE 4 - CROSS-SECTION ANALYSIS (H2 &amp; H3)</w:t>
      </w:r>
    </w:p>
    <w:p w14:paraId="46235F58">
      <w:pPr>
        <w:shd w:val="clear" w:fill="FFF9E6"/>
        <w:spacing w:before="0" w:after="200"/>
      </w:pPr>
      <w:r>
        <w:rPr>
          <w:b/>
          <w:color w:val="6B2737"/>
          <w:sz w:val="20"/>
        </w:rPr>
        <w:t xml:space="preserve">  Time: 2 minutes</w:t>
      </w:r>
    </w:p>
    <w:p w14:paraId="226EE69D">
      <w:pPr>
        <w:spacing w:before="240" w:after="80"/>
      </w:pPr>
      <w:r>
        <w:rPr>
          <w:b/>
          <w:color w:val="6B2737"/>
          <w:sz w:val="22"/>
        </w:rPr>
        <w:t>Results for H2: Performance Contingency</w:t>
      </w:r>
    </w:p>
    <w:p w14:paraId="44150F69">
      <w:pPr>
        <w:pBdr>
          <w:left w:val="single" w:color="2E5C8A" w:sz="18" w:space="0"/>
        </w:pBdr>
        <w:shd w:val="clear" w:fill="F0F5FA"/>
        <w:spacing w:before="120" w:after="200"/>
        <w:ind w:left="200" w:right="200"/>
      </w:pPr>
      <w:r>
        <w:rPr>
          <w:b/>
          <w:color w:val="2E5C8A"/>
          <w:sz w:val="20"/>
        </w:rPr>
        <w:t>Finding</w:t>
      </w:r>
      <w:r>
        <w:br w:type="textWrapping"/>
      </w:r>
      <w:r>
        <w:t>The triple interaction (AI x Post x Performance) is -0.0026* with p-value of 0.0566. This is marginally significant but negative - opposite of what we expected.</w:t>
      </w:r>
    </w:p>
    <w:p w14:paraId="392EF54C">
      <w:pPr>
        <w:pBdr>
          <w:left w:val="single" w:color="2E5C8A" w:sz="18" w:space="0"/>
        </w:pBdr>
        <w:shd w:val="clear" w:fill="F0F5FA"/>
        <w:spacing w:before="120" w:after="200"/>
        <w:ind w:left="200" w:right="200"/>
      </w:pPr>
      <w:r>
        <w:rPr>
          <w:b/>
          <w:color w:val="2E5C8A"/>
          <w:sz w:val="20"/>
        </w:rPr>
        <w:t>Interpretation</w:t>
      </w:r>
      <w:r>
        <w:br w:type="textWrapping"/>
      </w:r>
      <w:r>
        <w:t>The AI-flow effect is slightly weaker for high-performing funds. One possible reason: the AI news was so strong that it overwhelmed performance considerations. Investors cared more about the AI theme than about past performance.</w:t>
      </w:r>
    </w:p>
    <w:p w14:paraId="2DD35712">
      <w:pPr>
        <w:spacing w:before="240" w:after="80"/>
      </w:pPr>
      <w:r>
        <w:rPr>
          <w:b/>
          <w:color w:val="6B2737"/>
          <w:sz w:val="22"/>
        </w:rPr>
        <w:t>Results for H3: Manager Behavior</w:t>
      </w:r>
    </w:p>
    <w:p w14:paraId="0445AE9D">
      <w:pPr>
        <w:pBdr>
          <w:left w:val="single" w:color="1E3A5F" w:sz="12" w:space="0"/>
        </w:pBdr>
        <w:shd w:val="clear" w:fill="F8FAFC"/>
        <w:spacing w:before="80" w:after="120"/>
        <w:ind w:left="200" w:right="200"/>
      </w:pPr>
      <w:r>
        <w:rPr>
          <w:b/>
          <w:color w:val="1E3A5F"/>
        </w:rPr>
        <w:t>1. Turnover:</w:t>
      </w:r>
      <w:r>
        <w:t>Triple interaction: -0.0353 (p = 0.8792). Not significant. No evidence that AI funds traded more.</w:t>
      </w:r>
    </w:p>
    <w:p w14:paraId="545EB191">
      <w:pPr>
        <w:pBdr>
          <w:left w:val="single" w:color="1E3A5F" w:sz="12" w:space="0"/>
        </w:pBdr>
        <w:shd w:val="clear" w:fill="F8FAFC"/>
        <w:spacing w:before="80" w:after="120"/>
        <w:ind w:left="200" w:right="200"/>
      </w:pPr>
      <w:r>
        <w:rPr>
          <w:b/>
          <w:color w:val="1E3A5F"/>
        </w:rPr>
        <w:t>2. HHI Change:</w:t>
      </w:r>
      <w:r>
        <w:t>Triple interaction: 0.0013 (p = 0.1339). Not significant. No evidence that AI funds changed portfolio concentration.</w:t>
      </w:r>
    </w:p>
    <w:p w14:paraId="134BC3CB">
      <w:pPr>
        <w:spacing w:before="240" w:after="80"/>
      </w:pPr>
      <w:r>
        <w:rPr>
          <w:b/>
          <w:color w:val="6B2737"/>
          <w:sz w:val="22"/>
        </w:rPr>
        <w:t>Conclusion for H3</w:t>
      </w:r>
    </w:p>
    <w:p w14:paraId="592B2749">
      <w:pPr>
        <w:pBdr>
          <w:left w:val="single" w:color="2E5C8A" w:sz="18" w:space="0"/>
        </w:pBdr>
        <w:shd w:val="clear" w:fill="F0F5FA"/>
        <w:spacing w:before="120" w:after="200"/>
        <w:ind w:left="200" w:right="200"/>
      </w:pPr>
      <w:r>
        <w:rPr>
          <w:b/>
          <w:color w:val="2E5C8A"/>
          <w:sz w:val="20"/>
        </w:rPr>
        <w:t>No Support</w:t>
      </w:r>
      <w:r>
        <w:br w:type="textWrapping"/>
      </w:r>
      <w:r>
        <w:t>I found no significant evidence that AI fund managers changed their investment behavior. Managers kept doing what they were already doing, even when they got more money.</w:t>
      </w:r>
    </w:p>
    <w:p w14:paraId="24110076">
      <w:r>
        <w:br w:type="page"/>
      </w:r>
    </w:p>
    <w:p w14:paraId="52B1EBFC">
      <w:pPr>
        <w:shd w:val="clear" w:fill="1E3A5F"/>
        <w:spacing w:before="0" w:after="0"/>
      </w:pPr>
      <w:r>
        <w:rPr>
          <w:b/>
          <w:color w:val="FFFFFF"/>
          <w:sz w:val="28"/>
        </w:rPr>
        <w:t xml:space="preserve">  SLIDE 18: TABLE 5 - ROBUSTNESS CHECKS</w:t>
      </w:r>
    </w:p>
    <w:p w14:paraId="5CBF5F55">
      <w:pPr>
        <w:shd w:val="clear" w:fill="FFF9E6"/>
        <w:spacing w:before="0" w:after="200"/>
      </w:pPr>
      <w:r>
        <w:rPr>
          <w:b/>
          <w:color w:val="6B2737"/>
          <w:sz w:val="20"/>
        </w:rPr>
        <w:t xml:space="preserve">  Time: 1 minute</w:t>
      </w:r>
    </w:p>
    <w:p w14:paraId="78041E4B">
      <w:pPr>
        <w:spacing w:before="240" w:after="80"/>
      </w:pPr>
      <w:r>
        <w:rPr>
          <w:b/>
          <w:color w:val="6B2737"/>
          <w:sz w:val="22"/>
        </w:rPr>
        <w:t>Are the Results Reliable?</w:t>
      </w:r>
    </w:p>
    <w:p w14:paraId="1FADEF9A">
      <w:pPr>
        <w:pBdr>
          <w:left w:val="single" w:color="2E5C8A" w:sz="18" w:space="0"/>
        </w:pBdr>
        <w:shd w:val="clear" w:fill="F0F5FA"/>
        <w:spacing w:before="120" w:after="200"/>
        <w:ind w:left="200" w:right="200"/>
      </w:pPr>
      <w:r>
        <w:rPr>
          <w:b/>
          <w:color w:val="2E5C8A"/>
          <w:sz w:val="20"/>
        </w:rPr>
        <w:t>Tests I Ran</w:t>
      </w:r>
      <w:r>
        <w:br w:type="textWrapping"/>
      </w:r>
      <w:r>
        <w:t>I tested many different specifications to make sure my results are real:</w:t>
      </w:r>
    </w:p>
    <w:p w14:paraId="2DB1B4B7">
      <w:pPr>
        <w:spacing w:after="60"/>
        <w:ind w:left="600" w:hanging="240"/>
      </w:pPr>
      <w:r>
        <w:t>• Different winsorization levels (1%, 2.5%, none)</w:t>
      </w:r>
    </w:p>
    <w:p w14:paraId="40C6ECF0">
      <w:pPr>
        <w:spacing w:after="60"/>
        <w:ind w:left="600" w:hanging="240"/>
      </w:pPr>
      <w:r>
        <w:t>• Binary AI measures with different cutoffs (10%, 25%, 33%, 50%)</w:t>
      </w:r>
    </w:p>
    <w:p w14:paraId="4AEF772D">
      <w:pPr>
        <w:spacing w:after="60"/>
        <w:ind w:left="600" w:hanging="240"/>
      </w:pPr>
      <w:r>
        <w:t>• Removing extreme observations</w:t>
      </w:r>
    </w:p>
    <w:p w14:paraId="0FE0F0C8">
      <w:pPr>
        <w:spacing w:after="60"/>
        <w:ind w:left="600" w:hanging="240"/>
      </w:pPr>
      <w:r>
        <w:t>• Different standardization methods</w:t>
      </w:r>
    </w:p>
    <w:p w14:paraId="3BDA83B5">
      <w:pPr>
        <w:spacing w:after="60"/>
        <w:ind w:left="600" w:hanging="240"/>
      </w:pPr>
      <w:r>
        <w:t>• Shorter time period (2022-2024 only)</w:t>
      </w:r>
    </w:p>
    <w:p w14:paraId="2EDE4056">
      <w:pPr>
        <w:spacing w:before="240" w:after="80"/>
      </w:pPr>
      <w:r>
        <w:rPr>
          <w:b/>
          <w:color w:val="6B2737"/>
          <w:sz w:val="22"/>
        </w:rPr>
        <w:t>Results</w:t>
      </w:r>
    </w:p>
    <w:p w14:paraId="3C084128">
      <w:pPr>
        <w:pBdr>
          <w:left w:val="single" w:color="2E5C8A" w:sz="18" w:space="0"/>
        </w:pBdr>
        <w:shd w:val="clear" w:fill="F0F5FA"/>
        <w:spacing w:before="120" w:after="200"/>
        <w:ind w:left="200" w:right="200"/>
      </w:pPr>
      <w:r>
        <w:rPr>
          <w:b/>
          <w:color w:val="2E5C8A"/>
          <w:sz w:val="20"/>
        </w:rPr>
        <w:t>Consistency</w:t>
      </w:r>
      <w:r>
        <w:br w:type="textWrapping"/>
      </w:r>
      <w:r>
        <w:t>In all 10 specifications, the AI_Exposure x Post coefficient stays positive and significant. Coefficients range from 0.0047 to 0.0062. This shows my main finding is very robust.</w:t>
      </w:r>
    </w:p>
    <w:p w14:paraId="03850574">
      <w:pPr>
        <w:spacing w:before="240" w:after="80"/>
      </w:pPr>
      <w:r>
        <w:rPr>
          <w:b/>
          <w:color w:val="6B2737"/>
          <w:sz w:val="22"/>
        </w:rPr>
        <w:t>Conclusion</w:t>
      </w:r>
    </w:p>
    <w:p w14:paraId="5D71BFD4">
      <w:pPr>
        <w:pBdr>
          <w:left w:val="single" w:color="2E5C8A" w:sz="18" w:space="0"/>
        </w:pBdr>
        <w:shd w:val="clear" w:fill="F0F5FA"/>
        <w:spacing w:before="120" w:after="200"/>
        <w:ind w:left="200" w:right="200"/>
      </w:pPr>
      <w:r>
        <w:rPr>
          <w:b/>
          <w:color w:val="2E5C8A"/>
          <w:sz w:val="20"/>
        </w:rPr>
        <w:t>Reliability</w:t>
      </w:r>
      <w:r>
        <w:br w:type="textWrapping"/>
      </w:r>
      <w:r>
        <w:t>The results are not driven by how I handle the data or measure AI exposure. The finding that AI funds got more money after ChatGPT is very reliable.</w:t>
      </w:r>
    </w:p>
    <w:p w14:paraId="242795D7">
      <w:r>
        <w:br w:type="page"/>
      </w:r>
    </w:p>
    <w:p w14:paraId="09467105">
      <w:pPr>
        <w:shd w:val="clear" w:fill="1E3A5F"/>
        <w:spacing w:before="0" w:after="0"/>
      </w:pPr>
      <w:r>
        <w:rPr>
          <w:b/>
          <w:color w:val="FFFFFF"/>
          <w:sz w:val="28"/>
        </w:rPr>
        <w:t xml:space="preserve">  SLIDE 19: DISCUSSION AND INTERPRETATION</w:t>
      </w:r>
    </w:p>
    <w:p w14:paraId="1D80ACCB">
      <w:pPr>
        <w:shd w:val="clear" w:fill="FFF9E6"/>
        <w:spacing w:before="0" w:after="200"/>
      </w:pPr>
      <w:r>
        <w:rPr>
          <w:b/>
          <w:color w:val="6B2737"/>
          <w:sz w:val="20"/>
        </w:rPr>
        <w:t xml:space="preserve">  Time: Continue 1 minute</w:t>
      </w:r>
    </w:p>
    <w:p w14:paraId="312C3AA8">
      <w:pPr>
        <w:spacing w:before="240" w:after="80"/>
      </w:pPr>
      <w:r>
        <w:rPr>
          <w:b/>
          <w:color w:val="6B2737"/>
          <w:sz w:val="22"/>
        </w:rPr>
        <w:t>Summary of Findings</w:t>
      </w:r>
    </w:p>
    <w:p w14:paraId="7E00786A">
      <w:pPr>
        <w:pBdr>
          <w:left w:val="single" w:color="1E3A5F" w:sz="12" w:space="0"/>
        </w:pBdr>
        <w:shd w:val="clear" w:fill="F8FAFC"/>
        <w:spacing w:before="80" w:after="120"/>
        <w:ind w:left="200" w:right="200"/>
      </w:pPr>
      <w:r>
        <w:rPr>
          <w:b/>
          <w:color w:val="1E3A5F"/>
        </w:rPr>
        <w:t>1. H1: Strong Support:</w:t>
      </w:r>
      <w:r>
        <w:t>ChatGPT shock significantly increased money flows to AI funds. Coefficient: 0.0053***</w:t>
      </w:r>
    </w:p>
    <w:p w14:paraId="4A6AB1BF">
      <w:pPr>
        <w:pBdr>
          <w:left w:val="single" w:color="1E3A5F" w:sz="12" w:space="0"/>
        </w:pBdr>
        <w:shd w:val="clear" w:fill="F8FAFC"/>
        <w:spacing w:before="80" w:after="120"/>
        <w:ind w:left="200" w:right="200"/>
      </w:pPr>
      <w:r>
        <w:rPr>
          <w:b/>
          <w:color w:val="1E3A5F"/>
        </w:rPr>
        <w:t>2. H2: Limited Support:</w:t>
      </w:r>
      <w:r>
        <w:t>Performance contingency is weak and opposite direction. Coefficient: -0.0026* (p=0.0566)</w:t>
      </w:r>
    </w:p>
    <w:p w14:paraId="57254B82">
      <w:pPr>
        <w:pBdr>
          <w:left w:val="single" w:color="1E3A5F" w:sz="12" w:space="0"/>
        </w:pBdr>
        <w:shd w:val="clear" w:fill="F8FAFC"/>
        <w:spacing w:before="80" w:after="120"/>
        <w:ind w:left="200" w:right="200"/>
      </w:pPr>
      <w:r>
        <w:rPr>
          <w:b/>
          <w:color w:val="1E3A5F"/>
        </w:rPr>
        <w:t>3. H3: No Support:</w:t>
      </w:r>
      <w:r>
        <w:t>No evidence of behavior change. Turnover: not significant. HHI change: not significant.</w:t>
      </w:r>
    </w:p>
    <w:p w14:paraId="4127784C">
      <w:pPr>
        <w:spacing w:before="240" w:after="80"/>
      </w:pPr>
      <w:r>
        <w:rPr>
          <w:b/>
          <w:color w:val="6B2737"/>
          <w:sz w:val="22"/>
        </w:rPr>
        <w:t>What This Means</w:t>
      </w:r>
    </w:p>
    <w:p w14:paraId="6AB6CA0B">
      <w:pPr>
        <w:pBdr>
          <w:left w:val="single" w:color="2E5C8A" w:sz="18" w:space="0"/>
        </w:pBdr>
        <w:shd w:val="clear" w:fill="F0F5FA"/>
        <w:spacing w:before="120" w:after="200"/>
        <w:ind w:left="200" w:right="200"/>
      </w:pPr>
      <w:r>
        <w:rPr>
          <w:b/>
          <w:color w:val="2E5C8A"/>
          <w:sz w:val="20"/>
        </w:rPr>
        <w:t>Main Message</w:t>
      </w:r>
      <w:r>
        <w:br w:type="textWrapping"/>
      </w:r>
      <w:r>
        <w:t>My findings suggest passive money reallocation, not active strategy change. Investors moved money to AI funds because of the ChatGPT news. But fund managers did not change how they invested.</w:t>
      </w:r>
    </w:p>
    <w:p w14:paraId="6A871105">
      <w:pPr>
        <w:spacing w:before="240" w:after="80"/>
      </w:pPr>
      <w:r>
        <w:rPr>
          <w:b/>
          <w:color w:val="6B2737"/>
          <w:sz w:val="22"/>
        </w:rPr>
        <w:t>Why No Behavior Change?</w:t>
      </w:r>
    </w:p>
    <w:p w14:paraId="2DD86E89">
      <w:pPr>
        <w:spacing w:after="60"/>
        <w:ind w:left="600" w:hanging="240"/>
      </w:pPr>
      <w:r>
        <w:t>• AI funds already had AI-focused strategies</w:t>
      </w:r>
    </w:p>
    <w:p w14:paraId="0477A894">
      <w:pPr>
        <w:spacing w:after="60"/>
        <w:ind w:left="600" w:hanging="240"/>
      </w:pPr>
      <w:r>
        <w:t>• Two years might not be enough time for managers to adapt</w:t>
      </w:r>
    </w:p>
    <w:p w14:paraId="4BE580BF">
      <w:pPr>
        <w:spacing w:after="60"/>
        <w:ind w:left="600" w:hanging="240"/>
      </w:pPr>
      <w:r>
        <w:t>• Fund rules and policies might limit how much managers can change</w:t>
      </w:r>
    </w:p>
    <w:p w14:paraId="5AA1093A">
      <w:r>
        <w:br w:type="page"/>
      </w:r>
    </w:p>
    <w:p w14:paraId="6260D298">
      <w:pPr>
        <w:shd w:val="clear" w:fill="1E3A5F"/>
        <w:spacing w:before="0" w:after="0"/>
      </w:pPr>
      <w:r>
        <w:rPr>
          <w:b/>
          <w:color w:val="FFFFFF"/>
          <w:sz w:val="28"/>
        </w:rPr>
        <w:t xml:space="preserve">  SLIDE 20: CONCLUSIONS</w:t>
      </w:r>
    </w:p>
    <w:p w14:paraId="68448977">
      <w:pPr>
        <w:shd w:val="clear" w:fill="FFF9E6"/>
        <w:spacing w:before="0" w:after="200"/>
      </w:pPr>
      <w:r>
        <w:rPr>
          <w:b/>
          <w:color w:val="6B2737"/>
          <w:sz w:val="20"/>
        </w:rPr>
        <w:t xml:space="preserve">  Time: 1 minute</w:t>
      </w:r>
    </w:p>
    <w:p w14:paraId="2E64353C">
      <w:pPr>
        <w:spacing w:before="240" w:after="80"/>
      </w:pPr>
      <w:r>
        <w:rPr>
          <w:b/>
          <w:color w:val="6B2737"/>
          <w:sz w:val="22"/>
        </w:rPr>
        <w:t>Main Conclusions</w:t>
      </w:r>
    </w:p>
    <w:p w14:paraId="4C3149E6">
      <w:pPr>
        <w:pBdr>
          <w:left w:val="single" w:color="1E3A5F" w:sz="12" w:space="0"/>
        </w:pBdr>
        <w:shd w:val="clear" w:fill="F8FAFC"/>
        <w:spacing w:before="80" w:after="120"/>
        <w:ind w:left="200" w:right="200"/>
      </w:pPr>
      <w:r>
        <w:rPr>
          <w:b/>
          <w:color w:val="1E3A5F"/>
        </w:rPr>
        <w:t>1. Money Flow Effect:</w:t>
      </w:r>
      <w:r>
        <w:t>ChatGPT's release made investors put more money into AI funds. One standard deviation more AI exposure led to 0.53% more monthly flows.</w:t>
      </w:r>
    </w:p>
    <w:p w14:paraId="38B27F48">
      <w:pPr>
        <w:pBdr>
          <w:left w:val="single" w:color="1E3A5F" w:sz="12" w:space="0"/>
        </w:pBdr>
        <w:shd w:val="clear" w:fill="F8FAFC"/>
        <w:spacing w:before="80" w:after="120"/>
        <w:ind w:left="200" w:right="200"/>
      </w:pPr>
      <w:r>
        <w:rPr>
          <w:b/>
          <w:color w:val="1E3A5F"/>
        </w:rPr>
        <w:t>2. Past Performance:</w:t>
      </w:r>
      <w:r>
        <w:t>The AI effect was not stronger for high-performing funds. Investor attention to the AI theme mattered more than past performance.</w:t>
      </w:r>
    </w:p>
    <w:p w14:paraId="1A225814">
      <w:pPr>
        <w:pBdr>
          <w:left w:val="single" w:color="1E3A5F" w:sz="12" w:space="0"/>
        </w:pBdr>
        <w:shd w:val="clear" w:fill="F8FAFC"/>
        <w:spacing w:before="80" w:after="120"/>
        <w:ind w:left="200" w:right="200"/>
      </w:pPr>
      <w:r>
        <w:rPr>
          <w:b/>
          <w:color w:val="1E3A5F"/>
        </w:rPr>
        <w:t>3. Manager Behavior:</w:t>
      </w:r>
      <w:r>
        <w:t>AI fund managers did not change their investment strategies. They did not trade more or change portfolio concentration.</w:t>
      </w:r>
    </w:p>
    <w:p w14:paraId="21A23122">
      <w:pPr>
        <w:spacing w:before="240" w:after="80"/>
      </w:pPr>
      <w:r>
        <w:rPr>
          <w:b/>
          <w:color w:val="6B2737"/>
          <w:sz w:val="22"/>
        </w:rPr>
        <w:t>Contributions</w:t>
      </w:r>
    </w:p>
    <w:p w14:paraId="650739DA">
      <w:pPr>
        <w:spacing w:after="60"/>
        <w:ind w:left="600" w:hanging="240"/>
      </w:pPr>
      <w:r>
        <w:t>• First study to link AI exposure to mutual fund flows</w:t>
      </w:r>
    </w:p>
    <w:p w14:paraId="60D5D312">
      <w:pPr>
        <w:spacing w:after="60"/>
        <w:ind w:left="600" w:hanging="240"/>
      </w:pPr>
      <w:r>
        <w:t>• Shows how technology news affects investor decisions</w:t>
      </w:r>
    </w:p>
    <w:p w14:paraId="761649F4">
      <w:pPr>
        <w:spacing w:after="60"/>
        <w:ind w:left="600" w:hanging="240"/>
      </w:pPr>
      <w:r>
        <w:t>• Adds to our understanding of attention-driven investing</w:t>
      </w:r>
    </w:p>
    <w:p w14:paraId="14882FDD">
      <w:pPr>
        <w:spacing w:before="240" w:after="80"/>
      </w:pPr>
      <w:r>
        <w:rPr>
          <w:b/>
          <w:color w:val="6B2737"/>
          <w:sz w:val="22"/>
        </w:rPr>
        <w:t>Limitations &amp; Future Research</w:t>
      </w:r>
    </w:p>
    <w:p w14:paraId="0BF51BC7">
      <w:pPr>
        <w:spacing w:after="60"/>
        <w:ind w:left="600" w:hanging="240"/>
      </w:pPr>
      <w:r>
        <w:t>• Longer time period needed to study manager adaptation</w:t>
      </w:r>
    </w:p>
    <w:p w14:paraId="256156FF">
      <w:pPr>
        <w:spacing w:after="60"/>
        <w:ind w:left="600" w:hanging="240"/>
      </w:pPr>
      <w:r>
        <w:t>• Individual investor data could show different patterns</w:t>
      </w:r>
    </w:p>
    <w:p w14:paraId="180FC355">
      <w:pPr>
        <w:spacing w:after="60"/>
        <w:ind w:left="600" w:hanging="240"/>
      </w:pPr>
      <w:r>
        <w:t>• Cross-country comparison would be interesting</w:t>
      </w:r>
    </w:p>
    <w:p w14:paraId="60C8012C">
      <w:r>
        <w:br w:type="page"/>
      </w:r>
    </w:p>
    <w:p w14:paraId="22607306">
      <w:pPr>
        <w:shd w:val="clear" w:fill="1E3A5F"/>
        <w:spacing w:before="0" w:after="0"/>
      </w:pPr>
      <w:r>
        <w:rPr>
          <w:b/>
          <w:color w:val="FFFFFF"/>
          <w:sz w:val="28"/>
        </w:rPr>
        <w:t xml:space="preserve">  SLIDE 21: REFERENCES</w:t>
      </w:r>
    </w:p>
    <w:p w14:paraId="0DBDA224">
      <w:pPr>
        <w:shd w:val="clear" w:fill="FFF9E6"/>
        <w:spacing w:before="0" w:after="200"/>
      </w:pPr>
      <w:r>
        <w:rPr>
          <w:b/>
          <w:color w:val="6B2737"/>
          <w:sz w:val="20"/>
        </w:rPr>
        <w:t xml:space="preserve">  Time: 0 seconds - End of Presentation</w:t>
      </w:r>
    </w:p>
    <w:p w14:paraId="0F220117">
      <w:pPr>
        <w:pBdr>
          <w:left w:val="single" w:color="2E5C8A" w:sz="18" w:space="0"/>
        </w:pBdr>
        <w:shd w:val="clear" w:fill="F0F5FA"/>
        <w:spacing w:before="120" w:after="200"/>
        <w:ind w:left="200" w:right="200"/>
      </w:pPr>
      <w:r>
        <w:rPr>
          <w:b/>
          <w:color w:val="2E5C8A"/>
          <w:sz w:val="20"/>
        </w:rPr>
        <w:t>Closing</w:t>
      </w:r>
      <w:r>
        <w:br w:type="textWrapping"/>
      </w:r>
      <w:r>
        <w:t>These are the main references I used in my study. Thank you very much for your attention. I am happy to answer any questions.</w:t>
      </w:r>
    </w:p>
    <w:p w14:paraId="4B7829E7">
      <w:pPr>
        <w:spacing w:before="240" w:after="80"/>
      </w:pPr>
      <w:r>
        <w:rPr>
          <w:b/>
          <w:color w:val="6B2737"/>
          <w:sz w:val="22"/>
        </w:rPr>
        <w:t>Sample References</w:t>
      </w:r>
    </w:p>
    <w:p w14:paraId="0DF0F84D">
      <w:pPr>
        <w:spacing w:after="60"/>
        <w:ind w:left="600" w:hanging="240"/>
      </w:pPr>
      <w:r>
        <w:t>• Barber &amp; Odean (2008) - Attention theory</w:t>
      </w:r>
    </w:p>
    <w:p w14:paraId="7A339F5A">
      <w:pPr>
        <w:spacing w:after="60"/>
        <w:ind w:left="600" w:hanging="240"/>
      </w:pPr>
      <w:r>
        <w:t>• Sirri &amp; Tufano (1998) - Flow-performance relationship</w:t>
      </w:r>
    </w:p>
    <w:p w14:paraId="103D2BB9">
      <w:pPr>
        <w:spacing w:after="60"/>
        <w:ind w:left="600" w:hanging="240"/>
      </w:pPr>
      <w:r>
        <w:t>• Kaniel et al. (2007) - Media coverage and fund flows</w:t>
      </w:r>
    </w:p>
    <w:p w14:paraId="30F47311">
      <w:pPr>
        <w:spacing w:after="60"/>
        <w:ind w:left="600" w:hanging="240"/>
      </w:pPr>
      <w:r>
        <w:t>• Babina et al. (2024) - AI company identification</w:t>
      </w:r>
    </w:p>
    <w:p w14:paraId="2E307E01">
      <w:pPr>
        <w:spacing w:after="60"/>
        <w:ind w:left="600" w:hanging="240"/>
      </w:pPr>
      <w:r>
        <w:t>• Lopez-Lira &amp; Tang (2024) - ChatGPT and stock returns</w:t>
      </w:r>
    </w:p>
    <w:p w14:paraId="3F633B57">
      <w:pPr>
        <w:sectPr>
          <w:headerReference r:id="rId5" w:type="default"/>
          <w:footerReference r:id="rId6" w:type="default"/>
          <w:pgSz w:w="11906" w:h="16838"/>
          <w:pgMar w:top="1440" w:right="1440" w:bottom="1440" w:left="1440" w:header="720" w:footer="720" w:gutter="0"/>
          <w:cols w:space="720" w:num="1"/>
        </w:sectPr>
      </w:pPr>
    </w:p>
    <w:p w14:paraId="59676288"/>
    <w:sectPr>
      <w:pgSz w:w="11906" w:h="16838"/>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886A7">
    <w:pPr>
      <w:jc w:val="center"/>
    </w:pPr>
    <w:r>
      <w:rPr>
        <w:color w:val="718096"/>
        <w:sz w:val="20"/>
      </w:rP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C39C8">
    <w:pPr>
      <w:pBdr>
        <w:bottom w:val="single" w:color="CBD5E0" w:sz="4" w:space="0"/>
      </w:pBdr>
      <w:jc w:val="right"/>
    </w:pPr>
    <w:r>
      <w:rPr>
        <w:color w:val="718096"/>
        <w:sz w:val="18"/>
      </w:rPr>
      <w:t>FYP Defense Script - Nan Lin (2252173)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AF8E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320" w:lineRule="auto"/>
    </w:pPr>
    <w:rPr>
      <w:rFonts w:ascii="Arial" w:hAnsi="Arial"/>
      <w:color w:val="1A1A2E"/>
      <w:sz w:val="22"/>
      <w:szCs w:val="22"/>
    </w:rPr>
  </w:style>
  <w:style w:type="paragraph" w:styleId="2">
    <w:name w:val="heading 1"/>
    <w:basedOn w:val="1"/>
    <w:uiPriority w:val="0"/>
    <w:pPr>
      <w:keepNext/>
      <w:keepLines/>
      <w:pageBreakBefore/>
      <w:spacing w:before="200" w:after="200"/>
      <w:outlineLvl w:val="0"/>
    </w:pPr>
    <w:rPr>
      <w:b/>
      <w:color w:val="1E3A5F"/>
      <w:sz w:val="32"/>
    </w:rPr>
  </w:style>
  <w:style w:type="paragraph" w:styleId="3">
    <w:name w:val="heading 2"/>
    <w:basedOn w:val="1"/>
    <w:uiPriority w:val="0"/>
    <w:pPr>
      <w:keepNext/>
      <w:keepLines/>
      <w:spacing w:before="280" w:after="120"/>
      <w:outlineLvl w:val="1"/>
    </w:pPr>
    <w:rPr>
      <w:b/>
      <w:color w:val="6B2737"/>
      <w:sz w:val="2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TotalTime>0</TotalTime>
  <ScaleCrop>false</ScaleCrop>
  <LinksUpToDate>false</LinksUpToDate>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2026-04-15T20:35:45Z</dcterms:created>
  <dc:creator>Data</dc:creator>
  <cp:lastModifiedBy>果果</cp:lastModifiedBy>
  <dcterms:modified xsi:type="dcterms:W3CDTF">2026-04-15T20:35:59Z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56EC48768D8D4A4B2F86DF69153F021D_42</vt:lpwstr>
  </property>
</Properties>
</file>