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bookmarkStart w:id="0" w:name="_GoBack"/>
      <w:bookmarkEnd w:id="0"/>
    </w:p>
    <w:p w14:paraId="359F7A07">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Flow</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mutual fund flow for fund i in month t,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standardized pre-shock AI exposure, and </w:t>
      </w:r>
      <w:r>
        <w:rPr>
          <w:rFonts w:ascii="Times New Roman" w:hAnsi="Times New Roman" w:eastAsia="Times New Roman"/>
          <w:b/>
          <w:i/>
          <w:sz w:val="24"/>
        </w:rPr>
        <w:t>Post</w:t>
      </w:r>
      <w:r>
        <w:rPr>
          <w:rFonts w:ascii="Times New Roman" w:hAnsi="Times New Roman" w:eastAsia="Times New Roman"/>
          <w:b/>
          <w:i/>
          <w:sz w:val="24"/>
          <w:vertAlign w:val="subscript"/>
        </w:rPr>
        <w:t>t</w:t>
      </w:r>
      <w:r>
        <w:rPr>
          <w:rFonts w:ascii="Times New Roman" w:hAnsi="Times New Roman" w:eastAsia="Times New Roman"/>
          <w:i w:val="0"/>
          <w:sz w:val="24"/>
        </w:rPr>
        <w:t xml:space="preserve"> equals one for periods after December 2022. Fund fixed effects (</w:t>
      </w:r>
      <w:r>
        <w:rPr>
          <w:rFonts w:ascii="Times New Roman" w:hAnsi="Times New Roman" w:eastAsia="Times New Roman"/>
          <w:b/>
          <w:i/>
          <w:sz w:val="24"/>
        </w:rPr>
        <w:t>μ</w:t>
      </w:r>
      <w:r>
        <w:rPr>
          <w:rFonts w:ascii="Times New Roman" w:hAnsi="Times New Roman" w:eastAsia="Times New Roman"/>
          <w:b/>
          <w:i/>
          <w:sz w:val="24"/>
          <w:vertAlign w:val="subscript"/>
        </w:rPr>
        <w:t>i</w:t>
      </w:r>
      <w:r>
        <w:rPr>
          <w:rFonts w:ascii="Times New Roman" w:hAnsi="Times New Roman" w:eastAsia="Times New Roman"/>
          <w:i w:val="0"/>
          <w:sz w:val="24"/>
        </w:rPr>
        <w:t>) control for time-invariant fund characteristics, while time fixed effects (</w:t>
      </w:r>
      <w:r>
        <w:rPr>
          <w:rFonts w:ascii="Times New Roman" w:hAnsi="Times New Roman" w:eastAsia="Times New Roman"/>
          <w:b/>
          <w:i/>
          <w:sz w:val="24"/>
        </w:rPr>
        <w:t>λ</w:t>
      </w:r>
      <w:r>
        <w:rPr>
          <w:rFonts w:ascii="Times New Roman" w:hAnsi="Times New Roman" w:eastAsia="Times New Roman"/>
          <w:b/>
          <w:i/>
          <w:sz w:val="24"/>
          <w:vertAlign w:val="subscript"/>
        </w:rPr>
        <w:t>t</w:t>
      </w:r>
      <w:r>
        <w:rPr>
          <w:rFonts w:ascii="Times New Roman" w:hAnsi="Times New Roman" w:eastAsia="Times New Roman"/>
          <w:i w:val="0"/>
          <w:sz w:val="24"/>
        </w:rPr>
        <w:t>) absorb common monthly shocks affecting all funds.</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0" w:line="360"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14:paraId="7628D44A">
      <w:pPr>
        <w:spacing w:before="0" w:after="0" w:line="360" w:lineRule="auto"/>
        <w:jc w:val="left"/>
      </w:pPr>
    </w:p>
    <w:p w14:paraId="56DF2EB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crsp_fundno</w:t>
      </w:r>
    </w:p>
    <w:p w14:paraId="5462D6C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caldt</w:t>
      </w:r>
    </w:p>
    <w:p w14:paraId="220BC62E">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mtna</w:t>
      </w:r>
    </w:p>
    <w:p w14:paraId="0F61E047">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mret</w:t>
      </w: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0" w:line="360" w:lineRule="auto"/>
        <w:jc w:val="left"/>
      </w:pPr>
      <w:r>
        <w:rPr>
          <w:rFonts w:ascii="Times New Roman" w:hAnsi="Times New Roman" w:eastAsia="Times New Roman"/>
          <w:b w:val="0"/>
          <w:i w:val="0"/>
          <w:sz w:val="24"/>
        </w:rPr>
        <w:t xml:space="preserve">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w:t>
      </w:r>
      <w:r>
        <w:rPr>
          <w:rFonts w:ascii="Times New Roman" w:hAnsi="Times New Roman" w:eastAsia="Times New Roman"/>
          <w:b/>
          <w:i w:val="0"/>
          <w:sz w:val="24"/>
        </w:rPr>
        <w:t>flow_w</w:t>
      </w:r>
      <w:r>
        <w:rPr>
          <w:rFonts w:ascii="Times New Roman" w:hAnsi="Times New Roman" w:eastAsia="Times New Roman"/>
          <w:b w:val="0"/>
          <w:i w:val="0"/>
          <w:sz w:val="24"/>
        </w:rPr>
        <w:t>.</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0" w:line="360" w:lineRule="auto"/>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0" w:line="360" w:lineRule="auto"/>
        <w:jc w:val="left"/>
      </w:pPr>
      <w:r>
        <w:rPr>
          <w:rFonts w:ascii="Times New Roman" w:hAnsi="Times New Roman" w:eastAsia="Times New Roman"/>
          <w:b w:val="0"/>
          <w:i w:val="0"/>
          <w:sz w:val="24"/>
        </w:rPr>
        <w:t>Both specifications include fund fixed effects, quarter fixed effects, and clustered standard errors.</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14:paraId="49EAA58A">
      <w:pPr>
        <w:spacing w:before="0" w:after="0" w:line="360" w:lineRule="auto"/>
        <w:jc w:val="left"/>
      </w:pPr>
    </w:p>
    <w:p w14:paraId="41D3A34E">
      <w:pPr>
        <w:spacing w:before="0" w:after="0" w:line="360" w:lineRule="auto"/>
        <w:jc w:val="left"/>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288912DC">
      <w:pPr>
        <w:spacing w:before="0" w:after="0" w:line="360" w:lineRule="auto"/>
        <w:jc w:val="left"/>
      </w:pP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F7D76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316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2026-05-14T08:40:00Z</dcterms:created>
  <dc:creator>果果</dc:creator>
  <cp:lastModifiedBy>果果</cp:lastModifiedBy>
  <dcterms:modified xsi:type="dcterms:W3CDTF">2026-05-16T18:32:57Z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