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b w:val="0"/>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jc w:val="center"/>
      </w:pPr>
      <w:r>
        <w:rPr>
          <w:rFonts w:ascii="Times New Roman" w:hAnsi="Times New Roman" w:eastAsia="Times New Roman"/>
          <w:b/>
          <w:i w:val="0"/>
          <w:sz w:val="22"/>
        </w:rPr>
        <w:t>Table 1B. Correlation Matrix</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Variable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flow_w</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AIExposureZ</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log_mtna_lag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mret_lag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flow_lag</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flow_w</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AIExposureZ</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-0.035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0.041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-0.079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r>
    </w:tbl>
    <w:p>
      <w:pPr>
        <w:spacing w:after="160"/>
      </w:pPr>
      <w:r>
        <w:rPr>
          <w:rFonts w:ascii="Times New Roman" w:hAnsi="Times New Roman" w:eastAsia="Times New Roman"/>
          <w:b w:val="0"/>
          <w:i/>
          <w:sz w:val="19"/>
        </w:rPr>
        <w:t>Notes: The table reports pairwise Pearson correlations using the H1/H2 monthly panel. Only the lower triangle is shown.</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276" w:lineRule="auto"/>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276" w:lineRule="auto"/>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276" w:lineRule="auto"/>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b w:val="0"/>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276" w:lineRule="auto"/>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00" w:after="120"/>
      </w:pPr>
      <w:r>
        <w:rPr>
          <w:rFonts w:ascii="Times New Roman" w:hAnsi="Times New Roman" w:eastAsia="Times New Roman"/>
          <w:b/>
          <w:sz w:val="32"/>
        </w:rPr>
        <w:t>Chapter 5 Discussion</w:t>
      </w:r>
    </w:p>
    <w:p>
      <w:pPr>
        <w:spacing w:before="160" w:after="120"/>
      </w:pPr>
      <w:r>
        <w:rPr>
          <w:rFonts w:ascii="Times New Roman" w:hAnsi="Times New Roman" w:eastAsia="Times New Roman"/>
          <w:b/>
          <w:sz w:val="28"/>
        </w:rPr>
        <w:t>5.1 AI Shock and Investor Attention</w:t>
      </w:r>
    </w:p>
    <w:p>
      <w:pPr>
        <w:spacing w:after="120" w:line="276" w:lineRule="auto"/>
      </w:pPr>
      <w:r>
        <w:rPr>
          <w:rFonts w:ascii="Times New Roman" w:hAnsi="Times New Roman" w:eastAsia="Times New Roman"/>
          <w:b w:val="0"/>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w:t>
      </w:r>
    </w:p>
    <w:p>
      <w:pPr>
        <w:spacing w:after="120" w:line="276" w:lineRule="auto"/>
      </w:pPr>
      <w:r>
        <w:rPr>
          <w:rFonts w:ascii="Times New Roman" w:hAnsi="Times New Roman" w:eastAsia="Times New Roman"/>
          <w:b w:val="0"/>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276" w:lineRule="auto"/>
      </w:pPr>
      <w:r>
        <w:rPr>
          <w:rFonts w:ascii="Times New Roman" w:hAnsi="Times New Roman" w:eastAsia="Times New Roman"/>
          <w:b w:val="0"/>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attention can affect capital flows, asset demand, and portfolio allocation.</w:t>
      </w:r>
    </w:p>
    <w:p>
      <w:pPr>
        <w:spacing w:before="160" w:after="120"/>
      </w:pPr>
      <w:r>
        <w:rPr>
          <w:rFonts w:ascii="Times New Roman" w:hAnsi="Times New Roman" w:eastAsia="Times New Roman"/>
          <w:b/>
          <w:sz w:val="28"/>
        </w:rPr>
        <w:t>5.2 Performance Credibility and Investor Trust</w:t>
      </w:r>
    </w:p>
    <w:p>
      <w:pPr>
        <w:spacing w:after="120" w:line="276" w:lineRule="auto"/>
      </w:pPr>
      <w:r>
        <w:rPr>
          <w:rFonts w:ascii="Times New Roman" w:hAnsi="Times New Roman" w:eastAsia="Times New Roman"/>
          <w:b w:val="0"/>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but it adds an important qualification: investors appear to chase thematic exposure more aggressively when the manager has already established credibility.</w:t>
      </w:r>
    </w:p>
    <w:p>
      <w:pPr>
        <w:spacing w:after="120" w:line="276" w:lineRule="auto"/>
      </w:pPr>
      <w:r>
        <w:rPr>
          <w:rFonts w:ascii="Times New Roman" w:hAnsi="Times New Roman" w:eastAsia="Times New Roman"/>
          <w:b w:val="0"/>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Funds with high AI exposure and stronger historical alpha are therefore more likely to be perceived as credible vehicles for gaining AI exposure.</w:t>
      </w:r>
    </w:p>
    <w:p>
      <w:pPr>
        <w:spacing w:after="120" w:line="276" w:lineRule="auto"/>
      </w:pPr>
      <w:r>
        <w:rPr>
          <w:rFonts w:ascii="Times New Roman" w:hAnsi="Times New Roman" w:eastAsia="Times New Roman"/>
          <w:b w:val="0"/>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The result is consistent with the view that investor confidence depends not only on exposure to a popular theme, but also on the perceived ability of fund managers to implement that theme effectively.</w:t>
      </w:r>
    </w:p>
    <w:p>
      <w:pPr>
        <w:spacing w:before="160" w:after="120"/>
      </w:pPr>
      <w:r>
        <w:rPr>
          <w:rFonts w:ascii="Times New Roman" w:hAnsi="Times New Roman" w:eastAsia="Times New Roman"/>
          <w:b/>
          <w:sz w:val="28"/>
        </w:rPr>
        <w:t>5.3 Strategic Adaptation on the Intensive Margin</w:t>
      </w:r>
    </w:p>
    <w:p>
      <w:pPr>
        <w:spacing w:after="120" w:line="276" w:lineRule="auto"/>
      </w:pPr>
      <w:r>
        <w:rPr>
          <w:rFonts w:ascii="Times New Roman" w:hAnsi="Times New Roman" w:eastAsia="Times New Roman"/>
          <w:b w:val="0"/>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w:t>
      </w:r>
    </w:p>
    <w:p>
      <w:pPr>
        <w:spacing w:after="120" w:line="276" w:lineRule="auto"/>
      </w:pPr>
      <w:r>
        <w:rPr>
          <w:rFonts w:ascii="Times New Roman" w:hAnsi="Times New Roman" w:eastAsia="Times New Roman"/>
          <w:b w:val="0"/>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w:t>
      </w:r>
    </w:p>
    <w:p>
      <w:pPr>
        <w:spacing w:after="120" w:line="276" w:lineRule="auto"/>
      </w:pPr>
      <w:r>
        <w:rPr>
          <w:rFonts w:ascii="Times New Roman" w:hAnsi="Times New Roman" w:eastAsia="Times New Roman"/>
          <w:b w:val="0"/>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w:t>
      </w:r>
    </w:p>
    <w:p>
      <w:pPr>
        <w:spacing w:after="120" w:line="276" w:lineRule="auto"/>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160" w:after="120"/>
      </w:pPr>
      <w:r>
        <w:rPr>
          <w:rFonts w:ascii="Times New Roman" w:hAnsi="Times New Roman" w:eastAsia="Times New Roman"/>
          <w:b/>
          <w:sz w:val="28"/>
        </w:rPr>
        <w:t>5.4 Theoretical and Practical Implications</w:t>
      </w:r>
    </w:p>
    <w:p>
      <w:pPr>
        <w:spacing w:before="160" w:after="120"/>
      </w:pPr>
      <w:r>
        <w:rPr>
          <w:rFonts w:ascii="Times New Roman" w:hAnsi="Times New Roman" w:eastAsia="Times New Roman"/>
          <w:b/>
          <w:sz w:val="24"/>
        </w:rPr>
        <w:t>5.4.1 Theoretical Implications</w:t>
      </w:r>
    </w:p>
    <w:p>
      <w:pPr>
        <w:spacing w:after="120" w:line="276" w:lineRule="auto"/>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276" w:lineRule="auto"/>
      </w:pPr>
      <w:r>
        <w:rPr>
          <w:rFonts w:ascii="Times New Roman" w:hAnsi="Times New Roman" w:eastAsia="Times New Roman"/>
          <w:b w:val="0"/>
          <w:sz w:val="24"/>
        </w:rPr>
        <w:t>Second, the findings contribute to the mutual fund flow literature by showing that flows respond not only to past performance, fees, and fund characteristics, but also to thematic exposure.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276" w:lineRule="auto"/>
      </w:pPr>
      <w:r>
        <w:rPr>
          <w:rFonts w:ascii="Times New Roman" w:hAnsi="Times New Roman" w:eastAsia="Times New Roman"/>
          <w:b w:val="0"/>
          <w:sz w:val="24"/>
        </w:rPr>
        <w:t>Third, the study contributes to research on technological shocks and institutional adaptation. Much of the emerging AI finance literature focuses on firm-level stock returns or market valuations.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pPr>
      <w:r>
        <w:rPr>
          <w:rFonts w:ascii="Times New Roman" w:hAnsi="Times New Roman" w:eastAsia="Times New Roman"/>
          <w:b/>
          <w:sz w:val="24"/>
        </w:rPr>
        <w:t>5.4.2 Practical Implications</w:t>
      </w:r>
    </w:p>
    <w:p>
      <w:pPr>
        <w:spacing w:after="120" w:line="276" w:lineRule="auto"/>
      </w:pPr>
      <w:r>
        <w:rPr>
          <w:rFonts w:ascii="Times New Roman" w:hAnsi="Times New Roman" w:eastAsia="Times New Roman"/>
          <w:b w:val="0"/>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Managers seeking to position portfolios around emerging technologies therefore face a dual challenge: communicating thematic exposure while maintaining evidence of disciplined performance.</w:t>
      </w:r>
    </w:p>
    <w:p>
      <w:pPr>
        <w:spacing w:after="120" w:line="276" w:lineRule="auto"/>
      </w:pPr>
      <w:r>
        <w:rPr>
          <w:rFonts w:ascii="Times New Roman" w:hAnsi="Times New Roman" w:eastAsia="Times New Roman"/>
          <w:b w:val="0"/>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w:t>
      </w:r>
    </w:p>
    <w:p>
      <w:pPr>
        <w:spacing w:after="120" w:line="276" w:lineRule="auto"/>
      </w:pPr>
      <w:r>
        <w:rPr>
          <w:rFonts w:ascii="Times New Roman" w:hAnsi="Times New Roman" w:eastAsia="Times New Roman"/>
          <w:b w:val="0"/>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The findings do not imply that such reallocations are irrational, but they do indicate that investor sentiment and technological optimism can shape institutional capital flows in economically meaningful ways.</w:t>
      </w:r>
    </w:p>
    <w:p>
      <w:pPr>
        <w:spacing w:before="160" w:after="120"/>
      </w:pPr>
      <w:r>
        <w:rPr>
          <w:rFonts w:ascii="Times New Roman" w:hAnsi="Times New Roman" w:eastAsia="Times New Roman"/>
          <w:b/>
          <w:sz w:val="28"/>
        </w:rPr>
        <w:t>5.5 Limitations and Future Research</w:t>
      </w:r>
    </w:p>
    <w:p>
      <w:pPr>
        <w:spacing w:after="120" w:line="276" w:lineRule="auto"/>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276" w:lineRule="auto"/>
      </w:pPr>
      <w:r>
        <w:rPr>
          <w:rFonts w:ascii="Times New Roman" w:hAnsi="Times New Roman" w:eastAsia="Times New Roman"/>
          <w:b w:val="0"/>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w:t>
      </w:r>
    </w:p>
    <w:p>
      <w:pPr>
        <w:spacing w:after="120" w:line="276" w:lineRule="auto"/>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276" w:lineRule="auto"/>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00" w:after="120"/>
      </w:pPr>
      <w:r>
        <w:rPr>
          <w:rFonts w:ascii="Times New Roman" w:hAnsi="Times New Roman" w:eastAsia="Times New Roman"/>
          <w:b/>
          <w:sz w:val="32"/>
        </w:rPr>
        <w:t>Chapter 6 Conclusion</w:t>
      </w:r>
    </w:p>
    <w:p>
      <w:pPr>
        <w:spacing w:before="160" w:after="120"/>
      </w:pPr>
      <w:r>
        <w:rPr>
          <w:rFonts w:ascii="Times New Roman" w:hAnsi="Times New Roman" w:eastAsia="Times New Roman"/>
          <w:b/>
          <w:sz w:val="28"/>
        </w:rPr>
        <w:t>6.1 Summary of Findings</w:t>
      </w:r>
    </w:p>
    <w:p>
      <w:pPr>
        <w:spacing w:after="120" w:line="276" w:lineRule="auto"/>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276" w:lineRule="auto"/>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276" w:lineRule="auto"/>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160" w:after="120"/>
      </w:pPr>
      <w:r>
        <w:rPr>
          <w:rFonts w:ascii="Times New Roman" w:hAnsi="Times New Roman" w:eastAsia="Times New Roman"/>
          <w:b/>
          <w:sz w:val="28"/>
        </w:rPr>
        <w:t>6.2 Main Contributions</w:t>
      </w:r>
    </w:p>
    <w:p>
      <w:pPr>
        <w:spacing w:after="120" w:line="276" w:lineRule="auto"/>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276" w:lineRule="auto"/>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276" w:lineRule="auto"/>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160" w:after="120"/>
      </w:pPr>
      <w:r>
        <w:rPr>
          <w:rFonts w:ascii="Times New Roman" w:hAnsi="Times New Roman" w:eastAsia="Times New Roman"/>
          <w:b/>
          <w:sz w:val="28"/>
        </w:rPr>
        <w:t>6.3 Final Remarks</w:t>
      </w:r>
    </w:p>
    <w:p>
      <w:pPr>
        <w:spacing w:after="120" w:line="276" w:lineRule="auto"/>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276" w:lineRule="auto"/>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