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2247" w14:textId="77777777" w:rsidR="00EC6DE5" w:rsidRPr="00EC6DE5" w:rsidRDefault="00EC6DE5" w:rsidP="00EC6DE5">
      <w:pPr>
        <w:rPr>
          <w:b/>
          <w:bCs/>
        </w:rPr>
      </w:pPr>
      <w:r w:rsidRPr="00EC6DE5">
        <w:rPr>
          <w:b/>
          <w:bCs/>
        </w:rPr>
        <w:t>TRACO SUPERSTORE PERFORMANCE ANALYSIS REPORT (2014–2017)</w:t>
      </w:r>
    </w:p>
    <w:p w14:paraId="7546EB7C" w14:textId="77777777" w:rsidR="00EC6DE5" w:rsidRPr="00EC6DE5" w:rsidRDefault="00EC6DE5" w:rsidP="00EC6DE5">
      <w:pPr>
        <w:rPr>
          <w:b/>
          <w:bCs/>
        </w:rPr>
      </w:pPr>
      <w:r w:rsidRPr="00EC6DE5">
        <w:rPr>
          <w:b/>
          <w:bCs/>
        </w:rPr>
        <w:t>1. Introduction</w:t>
      </w:r>
    </w:p>
    <w:p w14:paraId="3CC4F141" w14:textId="77777777" w:rsidR="00EC6DE5" w:rsidRPr="00EC6DE5" w:rsidRDefault="00EC6DE5" w:rsidP="00EC6DE5">
      <w:r w:rsidRPr="00EC6DE5">
        <w:t xml:space="preserve">This report provides a comprehensive performance analysis of </w:t>
      </w:r>
      <w:proofErr w:type="spellStart"/>
      <w:r w:rsidRPr="00EC6DE5">
        <w:t>Traco</w:t>
      </w:r>
      <w:proofErr w:type="spellEnd"/>
      <w:r w:rsidRPr="00EC6DE5">
        <w:t xml:space="preserve"> Superstore over the period from 2014 to 2017. The analysis aims to explore sales patterns, customer preferences, and regional contributions utilizing a business intelligence dashboard. By structuring the report to guide stakeholders through the narrative, methodology, and insights derived from the dataset, we aim to inform strategic decisions that can enhance overall business performance.</w:t>
      </w:r>
    </w:p>
    <w:p w14:paraId="6A68122B" w14:textId="77777777" w:rsidR="00EC6DE5" w:rsidRPr="00EC6DE5" w:rsidRDefault="00EC6DE5" w:rsidP="00EC6DE5">
      <w:pPr>
        <w:rPr>
          <w:b/>
          <w:bCs/>
        </w:rPr>
      </w:pPr>
      <w:r w:rsidRPr="00EC6DE5">
        <w:rPr>
          <w:b/>
          <w:bCs/>
        </w:rPr>
        <w:t>2. Story of Data</w:t>
      </w:r>
    </w:p>
    <w:p w14:paraId="358DE75E" w14:textId="77777777" w:rsidR="00EC6DE5" w:rsidRPr="00EC6DE5" w:rsidRDefault="00EC6DE5" w:rsidP="00EC6DE5">
      <w:r w:rsidRPr="00EC6DE5">
        <w:t xml:space="preserve">The dataset comprises </w:t>
      </w:r>
      <w:proofErr w:type="spellStart"/>
      <w:r w:rsidRPr="00EC6DE5">
        <w:t>Traco</w:t>
      </w:r>
      <w:proofErr w:type="spellEnd"/>
      <w:r w:rsidRPr="00EC6DE5">
        <w:t xml:space="preserve"> Superstore’s transactional records from 2014 to 2017, encompassing various business dimensions such as:</w:t>
      </w:r>
    </w:p>
    <w:p w14:paraId="1FF1E2A2" w14:textId="77777777" w:rsidR="00EC6DE5" w:rsidRPr="00EC6DE5" w:rsidRDefault="00EC6DE5" w:rsidP="00EC6DE5">
      <w:pPr>
        <w:numPr>
          <w:ilvl w:val="0"/>
          <w:numId w:val="9"/>
        </w:numPr>
      </w:pPr>
      <w:r w:rsidRPr="00EC6DE5">
        <w:t>Sales by Region: Insights into how different geographic areas contribute to overall sales.</w:t>
      </w:r>
    </w:p>
    <w:p w14:paraId="1D902065" w14:textId="77777777" w:rsidR="00EC6DE5" w:rsidRPr="00EC6DE5" w:rsidRDefault="00EC6DE5" w:rsidP="00EC6DE5">
      <w:pPr>
        <w:numPr>
          <w:ilvl w:val="0"/>
          <w:numId w:val="9"/>
        </w:numPr>
      </w:pPr>
      <w:r w:rsidRPr="00EC6DE5">
        <w:t>Sub-category Performance: Analysis of individual product sub-categories to identify best-sellers.</w:t>
      </w:r>
    </w:p>
    <w:p w14:paraId="3D37775E" w14:textId="77777777" w:rsidR="00EC6DE5" w:rsidRPr="00EC6DE5" w:rsidRDefault="00EC6DE5" w:rsidP="00EC6DE5">
      <w:pPr>
        <w:numPr>
          <w:ilvl w:val="0"/>
          <w:numId w:val="9"/>
        </w:numPr>
      </w:pPr>
      <w:r w:rsidRPr="00EC6DE5">
        <w:t>Customer Behavior: Understanding purchasing patterns and preferences among different customer segments.</w:t>
      </w:r>
    </w:p>
    <w:p w14:paraId="13EB1F3A" w14:textId="77777777" w:rsidR="00EC6DE5" w:rsidRPr="00EC6DE5" w:rsidRDefault="00EC6DE5" w:rsidP="00EC6DE5">
      <w:pPr>
        <w:numPr>
          <w:ilvl w:val="0"/>
          <w:numId w:val="9"/>
        </w:numPr>
      </w:pPr>
      <w:r w:rsidRPr="00EC6DE5">
        <w:t>Temporal Sales Trends: Observing how sales fluctuate over time, particularly in relation to seasons and fiscal periods.</w:t>
      </w:r>
    </w:p>
    <w:p w14:paraId="3E19B1E3" w14:textId="77777777" w:rsidR="00EC6DE5" w:rsidRPr="00EC6DE5" w:rsidRDefault="00EC6DE5" w:rsidP="00EC6DE5">
      <w:pPr>
        <w:rPr>
          <w:b/>
          <w:bCs/>
        </w:rPr>
      </w:pPr>
      <w:r w:rsidRPr="00EC6DE5">
        <w:rPr>
          <w:b/>
          <w:bCs/>
        </w:rPr>
        <w:t>Key performance indicators (KPIs) visualized include:</w:t>
      </w:r>
    </w:p>
    <w:p w14:paraId="7ACA25AE" w14:textId="77777777" w:rsidR="00EC6DE5" w:rsidRPr="00EC6DE5" w:rsidRDefault="00EC6DE5" w:rsidP="00EC6DE5">
      <w:pPr>
        <w:numPr>
          <w:ilvl w:val="0"/>
          <w:numId w:val="10"/>
        </w:numPr>
      </w:pPr>
      <w:r w:rsidRPr="00EC6DE5">
        <w:t>Total sales figures across the years.</w:t>
      </w:r>
    </w:p>
    <w:p w14:paraId="38148AB5" w14:textId="77777777" w:rsidR="00EC6DE5" w:rsidRPr="00EC6DE5" w:rsidRDefault="00EC6DE5" w:rsidP="00EC6DE5">
      <w:pPr>
        <w:numPr>
          <w:ilvl w:val="0"/>
          <w:numId w:val="10"/>
        </w:numPr>
      </w:pPr>
      <w:r w:rsidRPr="00EC6DE5">
        <w:t>Identification of best-selling products and sub-categories.</w:t>
      </w:r>
    </w:p>
    <w:p w14:paraId="071A1D65" w14:textId="77777777" w:rsidR="00EC6DE5" w:rsidRPr="00EC6DE5" w:rsidRDefault="00EC6DE5" w:rsidP="00EC6DE5">
      <w:pPr>
        <w:numPr>
          <w:ilvl w:val="0"/>
          <w:numId w:val="10"/>
        </w:numPr>
      </w:pPr>
      <w:r w:rsidRPr="00EC6DE5">
        <w:t>Analysis of top customers and their contributions.</w:t>
      </w:r>
    </w:p>
    <w:p w14:paraId="0FE664CA" w14:textId="77777777" w:rsidR="00EC6DE5" w:rsidRPr="00EC6DE5" w:rsidRDefault="00EC6DE5" w:rsidP="00EC6DE5">
      <w:pPr>
        <w:numPr>
          <w:ilvl w:val="0"/>
          <w:numId w:val="10"/>
        </w:numPr>
      </w:pPr>
      <w:r w:rsidRPr="00EC6DE5">
        <w:t>City-wise sales contributions to pinpoint high-performing locations.</w:t>
      </w:r>
    </w:p>
    <w:p w14:paraId="14B55C99" w14:textId="2EB2A3D7" w:rsidR="00EC6DE5" w:rsidRPr="00EC6DE5" w:rsidRDefault="00EC6DE5" w:rsidP="00EC6DE5">
      <w:pPr>
        <w:rPr>
          <w:b/>
          <w:bCs/>
        </w:rPr>
      </w:pPr>
      <w:r w:rsidRPr="00EC6DE5">
        <w:rPr>
          <w:b/>
          <w:bCs/>
        </w:rPr>
        <w:t xml:space="preserve">3. Data Splitting </w:t>
      </w:r>
    </w:p>
    <w:p w14:paraId="0CAE0A70" w14:textId="029E5B2A" w:rsidR="00EC6DE5" w:rsidRDefault="00EC6DE5" w:rsidP="00EC6DE5">
      <w:r>
        <w:t xml:space="preserve">The dataset was Split into two we have the </w:t>
      </w:r>
    </w:p>
    <w:p w14:paraId="1F30B802" w14:textId="5D395BB1" w:rsidR="00EC6DE5" w:rsidRDefault="00EC6DE5" w:rsidP="00EC6DE5">
      <w:r>
        <w:t xml:space="preserve">Dependent Values which </w:t>
      </w:r>
      <w:r w:rsidR="00C5770C">
        <w:t xml:space="preserve">include: Time, Product Category, and customers </w:t>
      </w:r>
    </w:p>
    <w:p w14:paraId="2EEA678E" w14:textId="44A2F287" w:rsidR="00C5770C" w:rsidRPr="00EC6DE5" w:rsidRDefault="00C5770C" w:rsidP="00EC6DE5">
      <w:r>
        <w:t>Independent Values which include: City, region, Sub Category</w:t>
      </w:r>
    </w:p>
    <w:p w14:paraId="354BEA2B" w14:textId="77777777" w:rsidR="00EC6DE5" w:rsidRPr="00EC6DE5" w:rsidRDefault="00EC6DE5" w:rsidP="00EC6DE5">
      <w:r w:rsidRPr="00EC6DE5">
        <w:t>Preprocessing Steps Included:</w:t>
      </w:r>
    </w:p>
    <w:p w14:paraId="3C63394E" w14:textId="77777777" w:rsidR="00EC6DE5" w:rsidRPr="00EC6DE5" w:rsidRDefault="00EC6DE5" w:rsidP="00EC6DE5">
      <w:pPr>
        <w:numPr>
          <w:ilvl w:val="0"/>
          <w:numId w:val="12"/>
        </w:numPr>
      </w:pPr>
      <w:r w:rsidRPr="00EC6DE5">
        <w:t>Data Cleaning: Removal of null values and duplicate entries to ensure accuracy.</w:t>
      </w:r>
    </w:p>
    <w:p w14:paraId="459A3C54" w14:textId="77777777" w:rsidR="00EC6DE5" w:rsidRPr="00EC6DE5" w:rsidRDefault="00EC6DE5" w:rsidP="00EC6DE5">
      <w:pPr>
        <w:numPr>
          <w:ilvl w:val="0"/>
          <w:numId w:val="12"/>
        </w:numPr>
      </w:pPr>
      <w:r w:rsidRPr="00EC6DE5">
        <w:t>Date Conversion: Formatting date fields into quarterly formats for better time-based analysis.</w:t>
      </w:r>
    </w:p>
    <w:p w14:paraId="490937EF" w14:textId="77777777" w:rsidR="00EC6DE5" w:rsidRPr="00EC6DE5" w:rsidRDefault="00EC6DE5" w:rsidP="00EC6DE5">
      <w:pPr>
        <w:numPr>
          <w:ilvl w:val="0"/>
          <w:numId w:val="12"/>
        </w:numPr>
      </w:pPr>
      <w:r w:rsidRPr="00EC6DE5">
        <w:t>Aggregation: Sales data was aggregated by category, sub-category, customer, and region to facilitate higher-level insights.</w:t>
      </w:r>
    </w:p>
    <w:p w14:paraId="01B3A85D" w14:textId="77777777" w:rsidR="00EC6DE5" w:rsidRPr="00EC6DE5" w:rsidRDefault="00EC6DE5" w:rsidP="00EC6DE5">
      <w:pPr>
        <w:rPr>
          <w:b/>
          <w:bCs/>
        </w:rPr>
      </w:pPr>
      <w:r w:rsidRPr="00EC6DE5">
        <w:rPr>
          <w:b/>
          <w:bCs/>
        </w:rPr>
        <w:lastRenderedPageBreak/>
        <w:t>4. Pre-Analysis</w:t>
      </w:r>
    </w:p>
    <w:p w14:paraId="644EB7C6" w14:textId="77777777" w:rsidR="00EC6DE5" w:rsidRPr="00EC6DE5" w:rsidRDefault="00EC6DE5" w:rsidP="00EC6DE5">
      <w:r w:rsidRPr="00EC6DE5">
        <w:t>The initial review of the dataset highlights several significant findings:</w:t>
      </w:r>
    </w:p>
    <w:p w14:paraId="3AED056B" w14:textId="77777777" w:rsidR="00EC6DE5" w:rsidRPr="00EC6DE5" w:rsidRDefault="00EC6DE5" w:rsidP="00EC6DE5">
      <w:pPr>
        <w:numPr>
          <w:ilvl w:val="0"/>
          <w:numId w:val="13"/>
        </w:numPr>
      </w:pPr>
      <w:r w:rsidRPr="00EC6DE5">
        <w:t>2017 Q4 was identified as the most successful quarter, with peak sales reaching $280,054.07.</w:t>
      </w:r>
    </w:p>
    <w:p w14:paraId="31F5A639" w14:textId="77777777" w:rsidR="00EC6DE5" w:rsidRPr="00EC6DE5" w:rsidRDefault="00EC6DE5" w:rsidP="00EC6DE5">
      <w:pPr>
        <w:numPr>
          <w:ilvl w:val="0"/>
          <w:numId w:val="13"/>
        </w:numPr>
      </w:pPr>
      <w:r w:rsidRPr="00EC6DE5">
        <w:t>The West region leads in sales, contributing $725,457.82 to total revenue.</w:t>
      </w:r>
    </w:p>
    <w:p w14:paraId="37F6B612" w14:textId="77777777" w:rsidR="00EC6DE5" w:rsidRPr="00EC6DE5" w:rsidRDefault="00EC6DE5" w:rsidP="00EC6DE5">
      <w:pPr>
        <w:numPr>
          <w:ilvl w:val="0"/>
          <w:numId w:val="13"/>
        </w:numPr>
      </w:pPr>
      <w:r w:rsidRPr="00EC6DE5">
        <w:t>Binders emerged as the top-selling sub-category by quantity sold, indicating strong customer demand.</w:t>
      </w:r>
    </w:p>
    <w:p w14:paraId="0EB39075" w14:textId="77777777" w:rsidR="00EC6DE5" w:rsidRPr="00EC6DE5" w:rsidRDefault="00EC6DE5" w:rsidP="00EC6DE5">
      <w:pPr>
        <w:numPr>
          <w:ilvl w:val="0"/>
          <w:numId w:val="13"/>
        </w:numPr>
      </w:pPr>
      <w:r w:rsidRPr="00EC6DE5">
        <w:t>The Technology category contributes the highest profit margins among all categories, suggesting a lucrative market segment.</w:t>
      </w:r>
    </w:p>
    <w:p w14:paraId="19B989A9" w14:textId="77777777" w:rsidR="00EC6DE5" w:rsidRPr="00EC6DE5" w:rsidRDefault="00EC6DE5" w:rsidP="00EC6DE5">
      <w:pPr>
        <w:rPr>
          <w:b/>
          <w:bCs/>
        </w:rPr>
      </w:pPr>
      <w:r w:rsidRPr="00EC6DE5">
        <w:rPr>
          <w:b/>
          <w:bCs/>
        </w:rPr>
        <w:t>5. In-Analysis</w:t>
      </w:r>
    </w:p>
    <w:p w14:paraId="7DE2D1DC" w14:textId="77777777" w:rsidR="00EC6DE5" w:rsidRPr="00EC6DE5" w:rsidRDefault="00EC6DE5" w:rsidP="00EC6DE5">
      <w:r w:rsidRPr="00EC6DE5">
        <w:t>Deeper insights drawn from visualizations reveal:</w:t>
      </w:r>
    </w:p>
    <w:p w14:paraId="0199F157" w14:textId="77777777" w:rsidR="00EC6DE5" w:rsidRPr="00EC6DE5" w:rsidRDefault="00EC6DE5" w:rsidP="00EC6DE5">
      <w:pPr>
        <w:numPr>
          <w:ilvl w:val="0"/>
          <w:numId w:val="14"/>
        </w:numPr>
      </w:pPr>
      <w:r w:rsidRPr="00EC6DE5">
        <w:t>Regional Sales Distribution: The West region dominates sales, followed by the South, East, and Central regions, indicating geographic disparities in performance.</w:t>
      </w:r>
    </w:p>
    <w:p w14:paraId="09CC595F" w14:textId="77777777" w:rsidR="00EC6DE5" w:rsidRPr="00EC6DE5" w:rsidRDefault="00EC6DE5" w:rsidP="00EC6DE5">
      <w:pPr>
        <w:numPr>
          <w:ilvl w:val="0"/>
          <w:numId w:val="14"/>
        </w:numPr>
      </w:pPr>
      <w:r w:rsidRPr="00EC6DE5">
        <w:t>Quarterly Sales Trends: There is consistent growth observed with seasonal peaks in Q4 each year, likely driven by holiday shopping and year-end business spending.</w:t>
      </w:r>
    </w:p>
    <w:p w14:paraId="7F8D3EEA" w14:textId="77777777" w:rsidR="00EC6DE5" w:rsidRPr="00EC6DE5" w:rsidRDefault="00EC6DE5" w:rsidP="00EC6DE5">
      <w:pPr>
        <w:numPr>
          <w:ilvl w:val="0"/>
          <w:numId w:val="14"/>
        </w:numPr>
      </w:pPr>
      <w:r w:rsidRPr="00EC6DE5">
        <w:t>Subcategory Quantity Sold: Binders (5,974 units) and Paper (5,178 units) lead in</w:t>
      </w:r>
      <w:r w:rsidRPr="00EC6DE5">
        <w:rPr>
          <w:b/>
          <w:bCs/>
        </w:rPr>
        <w:t xml:space="preserve"> </w:t>
      </w:r>
      <w:r w:rsidRPr="00EC6DE5">
        <w:t>quantity sold, highlighting popular office supply items.</w:t>
      </w:r>
    </w:p>
    <w:p w14:paraId="68B3A58F" w14:textId="77777777" w:rsidR="00EC6DE5" w:rsidRPr="00EC6DE5" w:rsidRDefault="00EC6DE5" w:rsidP="00EC6DE5">
      <w:pPr>
        <w:numPr>
          <w:ilvl w:val="0"/>
          <w:numId w:val="14"/>
        </w:numPr>
      </w:pPr>
      <w:r w:rsidRPr="00EC6DE5">
        <w:t>Top Customer Sales: Sean Miller stands out with total sales of $25,043.05, showcasing the importance of key customers in revenue generation.</w:t>
      </w:r>
    </w:p>
    <w:p w14:paraId="4EE33BA3" w14:textId="77777777" w:rsidR="00EC6DE5" w:rsidRPr="00EC6DE5" w:rsidRDefault="00EC6DE5" w:rsidP="00EC6DE5">
      <w:pPr>
        <w:numPr>
          <w:ilvl w:val="0"/>
          <w:numId w:val="14"/>
        </w:numPr>
      </w:pPr>
      <w:r w:rsidRPr="00EC6DE5">
        <w:t>City-wise Sales Performance: New York City is the top city for sales, achieving $256,368.16 in total sales, indicating a strong urban market presence.</w:t>
      </w:r>
    </w:p>
    <w:p w14:paraId="7E73AA23" w14:textId="77777777" w:rsidR="00EC6DE5" w:rsidRPr="00EC6DE5" w:rsidRDefault="00EC6DE5" w:rsidP="00EC6DE5">
      <w:r w:rsidRPr="00EC6DE5">
        <w:rPr>
          <w:b/>
          <w:bCs/>
        </w:rPr>
        <w:t>6.</w:t>
      </w:r>
      <w:r w:rsidRPr="00EC6DE5">
        <w:t xml:space="preserve"> </w:t>
      </w:r>
      <w:r w:rsidRPr="00EC6DE5">
        <w:rPr>
          <w:b/>
          <w:bCs/>
        </w:rPr>
        <w:t>Post-Analysis and Insights</w:t>
      </w:r>
    </w:p>
    <w:p w14:paraId="3652FD52" w14:textId="77777777" w:rsidR="00EC6DE5" w:rsidRPr="00EC6DE5" w:rsidRDefault="00EC6DE5" w:rsidP="00EC6DE5">
      <w:r w:rsidRPr="00EC6DE5">
        <w:t>Post-analysis reveals several critical insights:</w:t>
      </w:r>
    </w:p>
    <w:p w14:paraId="28CD0F54" w14:textId="77777777" w:rsidR="00EC6DE5" w:rsidRPr="00EC6DE5" w:rsidRDefault="00EC6DE5" w:rsidP="00EC6DE5">
      <w:pPr>
        <w:numPr>
          <w:ilvl w:val="0"/>
          <w:numId w:val="15"/>
        </w:numPr>
      </w:pPr>
      <w:r w:rsidRPr="00EC6DE5">
        <w:t>There is a strong concentration of sales and profits in Technology products, suggesting a need for further investment in this category.</w:t>
      </w:r>
    </w:p>
    <w:p w14:paraId="5DD1C981" w14:textId="77777777" w:rsidR="00EC6DE5" w:rsidRPr="00EC6DE5" w:rsidRDefault="00EC6DE5" w:rsidP="00EC6DE5">
      <w:pPr>
        <w:numPr>
          <w:ilvl w:val="0"/>
          <w:numId w:val="15"/>
        </w:numPr>
      </w:pPr>
      <w:r w:rsidRPr="00EC6DE5">
        <w:t>The West and South regions exhibit higher customer engagement, indicating potential for focused marketing strategies to capitalize on these markets.</w:t>
      </w:r>
    </w:p>
    <w:p w14:paraId="542C3859" w14:textId="77777777" w:rsidR="00EC6DE5" w:rsidRPr="00EC6DE5" w:rsidRDefault="00EC6DE5" w:rsidP="00EC6DE5">
      <w:pPr>
        <w:numPr>
          <w:ilvl w:val="0"/>
          <w:numId w:val="15"/>
        </w:numPr>
      </w:pPr>
      <w:r w:rsidRPr="00EC6DE5">
        <w:t>The repeated spikes in sales during year-end suggest holiday seasonality or fiscal year-end purchasing trends, which could be leveraged for promotional strategies.</w:t>
      </w:r>
    </w:p>
    <w:p w14:paraId="3F7A8A0B" w14:textId="77777777" w:rsidR="00EC6DE5" w:rsidRPr="00EC6DE5" w:rsidRDefault="00EC6DE5" w:rsidP="00EC6DE5">
      <w:pPr>
        <w:numPr>
          <w:ilvl w:val="0"/>
          <w:numId w:val="15"/>
        </w:numPr>
      </w:pPr>
      <w:r w:rsidRPr="00EC6DE5">
        <w:t>A small number of customers account for a large portion of total sales, indicating a need for VIP loyalty programs to retain and reward high-value customers.</w:t>
      </w:r>
    </w:p>
    <w:p w14:paraId="5B0EAE6C" w14:textId="77777777" w:rsidR="00EC6DE5" w:rsidRPr="00EC6DE5" w:rsidRDefault="00EC6DE5" w:rsidP="00EC6DE5">
      <w:pPr>
        <w:rPr>
          <w:b/>
          <w:bCs/>
        </w:rPr>
      </w:pPr>
      <w:r w:rsidRPr="00EC6DE5">
        <w:rPr>
          <w:b/>
          <w:bCs/>
        </w:rPr>
        <w:t>7. Data Visualizations &amp; Charts</w:t>
      </w:r>
    </w:p>
    <w:p w14:paraId="5D464AB0" w14:textId="77777777" w:rsidR="00EC6DE5" w:rsidRPr="00EC6DE5" w:rsidRDefault="00EC6DE5" w:rsidP="00EC6DE5">
      <w:r w:rsidRPr="00EC6DE5">
        <w:t>Key charts from the business intelligence dashboard include:</w:t>
      </w:r>
    </w:p>
    <w:p w14:paraId="6CAC1987" w14:textId="77777777" w:rsidR="00EC6DE5" w:rsidRDefault="00EC6DE5" w:rsidP="00EC6DE5">
      <w:pPr>
        <w:numPr>
          <w:ilvl w:val="0"/>
          <w:numId w:val="16"/>
        </w:numPr>
      </w:pPr>
      <w:r w:rsidRPr="00EC6DE5">
        <w:lastRenderedPageBreak/>
        <w:t>Line Chart: Illustrating quarterly sales trends from 2014 to 2017, highlighting growth patterns.</w:t>
      </w:r>
    </w:p>
    <w:p w14:paraId="34BC0E75" w14:textId="66BAD56A" w:rsidR="00C5770C" w:rsidRDefault="00C5770C" w:rsidP="00C5770C">
      <w:r>
        <w:rPr>
          <w:noProof/>
        </w:rPr>
        <w:drawing>
          <wp:inline distT="0" distB="0" distL="0" distR="0" wp14:anchorId="289A267D" wp14:editId="5A84A3B3">
            <wp:extent cx="5943600" cy="2702560"/>
            <wp:effectExtent l="0" t="0" r="0" b="2540"/>
            <wp:docPr id="4" name="Chart 4">
              <a:extLst xmlns:a="http://schemas.openxmlformats.org/drawingml/2006/main">
                <a:ext uri="{FF2B5EF4-FFF2-40B4-BE49-F238E27FC236}">
                  <a16:creationId xmlns:a16="http://schemas.microsoft.com/office/drawing/2014/main" id="{5C8E19AB-630B-27C6-5CE7-0B2C23B79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C7DE60" w14:textId="77777777" w:rsidR="005C00B9" w:rsidRDefault="005C00B9" w:rsidP="00C5770C"/>
    <w:p w14:paraId="4F2CD2A5" w14:textId="77777777" w:rsidR="005C00B9" w:rsidRPr="005C00B9" w:rsidRDefault="005C00B9" w:rsidP="005C00B9">
      <w:pPr>
        <w:rPr>
          <w:b/>
          <w:bCs/>
        </w:rPr>
      </w:pPr>
      <w:r w:rsidRPr="005C00B9">
        <w:rPr>
          <w:b/>
          <w:bCs/>
        </w:rPr>
        <w:t>1. Order Date by Sales (Trend Over Time)</w:t>
      </w:r>
    </w:p>
    <w:p w14:paraId="0599D851" w14:textId="77777777" w:rsidR="005C00B9" w:rsidRPr="005C00B9" w:rsidRDefault="005C00B9" w:rsidP="005C00B9">
      <w:pPr>
        <w:numPr>
          <w:ilvl w:val="0"/>
          <w:numId w:val="20"/>
        </w:numPr>
      </w:pPr>
      <w:r w:rsidRPr="005C00B9">
        <w:rPr>
          <w:b/>
          <w:bCs/>
        </w:rPr>
        <w:t>Observation</w:t>
      </w:r>
      <w:r w:rsidRPr="005C00B9">
        <w:t>: Sales show a cyclical yet upward trend from 2014 to 2017. There are consistent peaks in Q4 of each year, with Q4 2017 reaching the highest sales (~280K).</w:t>
      </w:r>
    </w:p>
    <w:p w14:paraId="7A0C3CC4" w14:textId="77777777" w:rsidR="005C00B9" w:rsidRPr="005C00B9" w:rsidRDefault="005C00B9" w:rsidP="005C00B9">
      <w:pPr>
        <w:numPr>
          <w:ilvl w:val="0"/>
          <w:numId w:val="20"/>
        </w:numPr>
      </w:pPr>
      <w:r w:rsidRPr="005C00B9">
        <w:rPr>
          <w:b/>
          <w:bCs/>
        </w:rPr>
        <w:t>Insight</w:t>
      </w:r>
      <w:r w:rsidRPr="005C00B9">
        <w:t>: This suggests strong end-of-year demand—possibly influenced by seasonal shopping events like Black Friday or holiday sales.</w:t>
      </w:r>
    </w:p>
    <w:p w14:paraId="428424E3" w14:textId="77777777" w:rsidR="005C00B9" w:rsidRDefault="005C00B9" w:rsidP="005C00B9">
      <w:pPr>
        <w:numPr>
          <w:ilvl w:val="0"/>
          <w:numId w:val="20"/>
        </w:numPr>
      </w:pPr>
      <w:r w:rsidRPr="005C00B9">
        <w:rPr>
          <w:b/>
          <w:bCs/>
        </w:rPr>
        <w:t>Action</w:t>
      </w:r>
      <w:r w:rsidRPr="005C00B9">
        <w:t>: Optimize inventory and marketing campaigns for Q4 to capitalize on the surge.</w:t>
      </w:r>
    </w:p>
    <w:p w14:paraId="3966F9FA" w14:textId="4077C45C" w:rsidR="00616B8B" w:rsidRPr="00616B8B" w:rsidRDefault="00616B8B" w:rsidP="00616B8B">
      <w:r w:rsidRPr="00616B8B">
        <w:rPr>
          <w:b/>
          <w:bCs/>
        </w:rPr>
        <w:t>Target Seasonal Peaks</w:t>
      </w:r>
      <w:r w:rsidRPr="00616B8B">
        <w:t>:</w:t>
      </w:r>
    </w:p>
    <w:p w14:paraId="3E90B866" w14:textId="77777777" w:rsidR="00616B8B" w:rsidRPr="00616B8B" w:rsidRDefault="00616B8B" w:rsidP="00616B8B">
      <w:pPr>
        <w:numPr>
          <w:ilvl w:val="0"/>
          <w:numId w:val="20"/>
        </w:numPr>
      </w:pPr>
      <w:r w:rsidRPr="00616B8B">
        <w:t>Strengthen promotions and inventory in Q4 to leverage the historical sales surge.</w:t>
      </w:r>
    </w:p>
    <w:p w14:paraId="50FEECF5" w14:textId="77777777" w:rsidR="00616B8B" w:rsidRPr="00616B8B" w:rsidRDefault="00616B8B" w:rsidP="00616B8B">
      <w:pPr>
        <w:numPr>
          <w:ilvl w:val="0"/>
          <w:numId w:val="20"/>
        </w:numPr>
      </w:pPr>
      <w:r w:rsidRPr="00616B8B">
        <w:t>Introduce loyalty programs that activate around high-spending months.</w:t>
      </w:r>
    </w:p>
    <w:p w14:paraId="1A9DF905" w14:textId="77777777" w:rsidR="00616B8B" w:rsidRPr="005C00B9" w:rsidRDefault="00616B8B" w:rsidP="00616B8B">
      <w:pPr>
        <w:ind w:left="720"/>
      </w:pPr>
    </w:p>
    <w:p w14:paraId="4287EA6D" w14:textId="77777777" w:rsidR="005C00B9" w:rsidRPr="00EC6DE5" w:rsidRDefault="005C00B9" w:rsidP="00C5770C"/>
    <w:p w14:paraId="70F7C407" w14:textId="4BD5C09B" w:rsidR="00C5770C" w:rsidRDefault="00C5770C" w:rsidP="00C5770C">
      <w:r>
        <w:rPr>
          <w:noProof/>
        </w:rPr>
        <w:lastRenderedPageBreak/>
        <w:drawing>
          <wp:inline distT="0" distB="0" distL="0" distR="0" wp14:anchorId="624ACD67" wp14:editId="282146AB">
            <wp:extent cx="5634990" cy="3168503"/>
            <wp:effectExtent l="0" t="0" r="3810" b="13335"/>
            <wp:docPr id="2" name="Chart 2">
              <a:extLst xmlns:a="http://schemas.openxmlformats.org/drawingml/2006/main">
                <a:ext uri="{FF2B5EF4-FFF2-40B4-BE49-F238E27FC236}">
                  <a16:creationId xmlns:a16="http://schemas.microsoft.com/office/drawing/2014/main" id="{004932FA-3FA6-9025-116B-3577F3146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8834B8" w14:textId="77777777" w:rsidR="005C00B9" w:rsidRDefault="005C00B9" w:rsidP="00C5770C"/>
    <w:p w14:paraId="593171DF" w14:textId="77777777" w:rsidR="005C00B9" w:rsidRPr="005C00B9" w:rsidRDefault="005C00B9" w:rsidP="005C00B9">
      <w:pPr>
        <w:rPr>
          <w:b/>
          <w:bCs/>
        </w:rPr>
      </w:pPr>
      <w:r w:rsidRPr="005C00B9">
        <w:rPr>
          <w:b/>
          <w:bCs/>
        </w:rPr>
        <w:t>2. Region by Sales</w:t>
      </w:r>
    </w:p>
    <w:p w14:paraId="58EA591E" w14:textId="77777777" w:rsidR="005C00B9" w:rsidRPr="005C00B9" w:rsidRDefault="005C00B9" w:rsidP="005C00B9">
      <w:pPr>
        <w:numPr>
          <w:ilvl w:val="0"/>
          <w:numId w:val="21"/>
        </w:numPr>
      </w:pPr>
      <w:r w:rsidRPr="005C00B9">
        <w:rPr>
          <w:b/>
          <w:bCs/>
        </w:rPr>
        <w:t>Observation</w:t>
      </w:r>
      <w:r w:rsidRPr="005C00B9">
        <w:t xml:space="preserve">: The </w:t>
      </w:r>
      <w:r w:rsidRPr="005C00B9">
        <w:rPr>
          <w:b/>
          <w:bCs/>
        </w:rPr>
        <w:t>West region</w:t>
      </w:r>
      <w:r w:rsidRPr="005C00B9">
        <w:t xml:space="preserve"> leads with </w:t>
      </w:r>
      <w:r w:rsidRPr="005C00B9">
        <w:rPr>
          <w:b/>
          <w:bCs/>
        </w:rPr>
        <w:t>~725K</w:t>
      </w:r>
      <w:r w:rsidRPr="005C00B9">
        <w:t xml:space="preserve">, followed by </w:t>
      </w:r>
      <w:r w:rsidRPr="005C00B9">
        <w:rPr>
          <w:b/>
          <w:bCs/>
        </w:rPr>
        <w:t>Central (~678K)</w:t>
      </w:r>
      <w:r w:rsidRPr="005C00B9">
        <w:t xml:space="preserve"> and </w:t>
      </w:r>
      <w:r w:rsidRPr="005C00B9">
        <w:rPr>
          <w:b/>
          <w:bCs/>
        </w:rPr>
        <w:t>South (~601K)</w:t>
      </w:r>
      <w:r w:rsidRPr="005C00B9">
        <w:t xml:space="preserve">. The </w:t>
      </w:r>
      <w:r w:rsidRPr="005C00B9">
        <w:rPr>
          <w:b/>
          <w:bCs/>
        </w:rPr>
        <w:t>East region (~391K)</w:t>
      </w:r>
      <w:r w:rsidRPr="005C00B9">
        <w:t xml:space="preserve"> trails behind.</w:t>
      </w:r>
    </w:p>
    <w:p w14:paraId="3169BD53" w14:textId="77777777" w:rsidR="005C00B9" w:rsidRPr="005C00B9" w:rsidRDefault="005C00B9" w:rsidP="005C00B9">
      <w:pPr>
        <w:numPr>
          <w:ilvl w:val="0"/>
          <w:numId w:val="21"/>
        </w:numPr>
      </w:pPr>
      <w:r w:rsidRPr="005C00B9">
        <w:rPr>
          <w:b/>
          <w:bCs/>
        </w:rPr>
        <w:t>Insight</w:t>
      </w:r>
      <w:r w:rsidRPr="005C00B9">
        <w:t>: The West region represents a key revenue zone. East’s underperformance may be due to limited market presence or consumer reach.</w:t>
      </w:r>
    </w:p>
    <w:p w14:paraId="4090E26F" w14:textId="77777777" w:rsidR="005C00B9" w:rsidRDefault="005C00B9" w:rsidP="005C00B9">
      <w:pPr>
        <w:numPr>
          <w:ilvl w:val="0"/>
          <w:numId w:val="21"/>
        </w:numPr>
      </w:pPr>
      <w:r w:rsidRPr="005C00B9">
        <w:rPr>
          <w:b/>
          <w:bCs/>
        </w:rPr>
        <w:t>Action</w:t>
      </w:r>
      <w:r w:rsidRPr="005C00B9">
        <w:t>: Expand marketing and store presence in the East. Investigate regional demand drivers to better tailor offerings.</w:t>
      </w:r>
    </w:p>
    <w:p w14:paraId="2878FBE2" w14:textId="4D08E69F" w:rsidR="00616B8B" w:rsidRPr="00616B8B" w:rsidRDefault="00616B8B" w:rsidP="00616B8B">
      <w:r w:rsidRPr="00616B8B">
        <w:rPr>
          <w:b/>
          <w:bCs/>
        </w:rPr>
        <w:t>Regional Expansion Strategy</w:t>
      </w:r>
      <w:r w:rsidRPr="00616B8B">
        <w:t>:</w:t>
      </w:r>
    </w:p>
    <w:p w14:paraId="4463C97E" w14:textId="77777777" w:rsidR="00616B8B" w:rsidRPr="00616B8B" w:rsidRDefault="00616B8B" w:rsidP="00616B8B">
      <w:pPr>
        <w:numPr>
          <w:ilvl w:val="0"/>
          <w:numId w:val="21"/>
        </w:numPr>
      </w:pPr>
      <w:r w:rsidRPr="00616B8B">
        <w:t>Invest in the East and Southern regions with localized campaigns and potentially mobile pop-up stores to test demand.</w:t>
      </w:r>
    </w:p>
    <w:p w14:paraId="7208A760" w14:textId="77777777" w:rsidR="005C00B9" w:rsidRPr="005C00B9" w:rsidRDefault="005C00B9" w:rsidP="00616B8B">
      <w:pPr>
        <w:ind w:left="720"/>
      </w:pPr>
    </w:p>
    <w:p w14:paraId="1E772DC2" w14:textId="24A87E81" w:rsidR="00C5770C" w:rsidRPr="00EC6DE5" w:rsidRDefault="00C5770C" w:rsidP="00C5770C">
      <w:r>
        <w:rPr>
          <w:noProof/>
        </w:rPr>
        <w:lastRenderedPageBreak/>
        <w:drawing>
          <wp:inline distT="0" distB="0" distL="0" distR="0" wp14:anchorId="6F09E9E9" wp14:editId="6A5F81AF">
            <wp:extent cx="4572000" cy="2898775"/>
            <wp:effectExtent l="0" t="0" r="0" b="15875"/>
            <wp:docPr id="1" name="Chart 1">
              <a:extLst xmlns:a="http://schemas.openxmlformats.org/drawingml/2006/main">
                <a:ext uri="{FF2B5EF4-FFF2-40B4-BE49-F238E27FC236}">
                  <a16:creationId xmlns:a16="http://schemas.microsoft.com/office/drawing/2014/main" id="{AEB929C4-9CFA-5319-14C6-EE3B33170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F78E7B" w14:textId="74021817" w:rsidR="005C00B9" w:rsidRPr="005C00B9" w:rsidRDefault="005C00B9" w:rsidP="005C00B9">
      <w:r w:rsidRPr="005C00B9">
        <w:rPr>
          <w:b/>
          <w:bCs/>
        </w:rPr>
        <w:t>Observation</w:t>
      </w:r>
      <w:r w:rsidRPr="005C00B9">
        <w:t>:</w:t>
      </w:r>
    </w:p>
    <w:p w14:paraId="1521E532" w14:textId="77777777" w:rsidR="005C00B9" w:rsidRPr="005C00B9" w:rsidRDefault="005C00B9" w:rsidP="005C00B9">
      <w:pPr>
        <w:numPr>
          <w:ilvl w:val="0"/>
          <w:numId w:val="22"/>
        </w:numPr>
      </w:pPr>
      <w:r w:rsidRPr="005C00B9">
        <w:rPr>
          <w:b/>
          <w:bCs/>
        </w:rPr>
        <w:t>Binders and Paper</w:t>
      </w:r>
      <w:r w:rsidRPr="005C00B9">
        <w:t xml:space="preserve"> top in quantity sold.</w:t>
      </w:r>
    </w:p>
    <w:p w14:paraId="692A025A" w14:textId="0B45897E" w:rsidR="005C00B9" w:rsidRPr="005C00B9" w:rsidRDefault="005C00B9" w:rsidP="005C00B9">
      <w:r w:rsidRPr="005C00B9">
        <w:rPr>
          <w:b/>
          <w:bCs/>
        </w:rPr>
        <w:t>Insight</w:t>
      </w:r>
      <w:r w:rsidRPr="005C00B9">
        <w:t xml:space="preserve">: High-quantity items like Binders might have low unit value, </w:t>
      </w:r>
    </w:p>
    <w:p w14:paraId="1CAA6FF9" w14:textId="51965309" w:rsidR="00616B8B" w:rsidRPr="005C00B9" w:rsidRDefault="00616B8B" w:rsidP="005C00B9">
      <w:r w:rsidRPr="00616B8B">
        <w:t>Use high-volume products (e.g., Binders, Paper) for upselling or bundling promotions.</w:t>
      </w:r>
    </w:p>
    <w:p w14:paraId="495DF90B" w14:textId="6CB7FD35" w:rsidR="00EC6DE5" w:rsidRDefault="00EC6DE5" w:rsidP="00C5770C"/>
    <w:p w14:paraId="318BBF8E" w14:textId="77777777" w:rsidR="00C5770C" w:rsidRDefault="00C5770C" w:rsidP="00C5770C"/>
    <w:p w14:paraId="17A163C0" w14:textId="42068975" w:rsidR="00C5770C" w:rsidRDefault="00C5770C" w:rsidP="00C5770C">
      <w:r>
        <w:rPr>
          <w:noProof/>
        </w:rPr>
        <w:drawing>
          <wp:inline distT="0" distB="0" distL="0" distR="0" wp14:anchorId="0FD42BC5" wp14:editId="599FD079">
            <wp:extent cx="5232400" cy="2743200"/>
            <wp:effectExtent l="0" t="0" r="6350" b="0"/>
            <wp:docPr id="3" name="Chart 3">
              <a:extLst xmlns:a="http://schemas.openxmlformats.org/drawingml/2006/main">
                <a:ext uri="{FF2B5EF4-FFF2-40B4-BE49-F238E27FC236}">
                  <a16:creationId xmlns:a16="http://schemas.microsoft.com/office/drawing/2014/main" id="{31671155-520F-55AB-6309-C951B4EDE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2AE179" w14:textId="77777777" w:rsidR="005C00B9" w:rsidRDefault="005C00B9" w:rsidP="005C00B9">
      <w:pPr>
        <w:numPr>
          <w:ilvl w:val="0"/>
          <w:numId w:val="22"/>
        </w:numPr>
      </w:pPr>
      <w:r w:rsidRPr="005C00B9">
        <w:rPr>
          <w:b/>
          <w:bCs/>
        </w:rPr>
        <w:t>Phones and Chairs</w:t>
      </w:r>
      <w:r w:rsidRPr="005C00B9">
        <w:t xml:space="preserve"> dominate in revenue.</w:t>
      </w:r>
    </w:p>
    <w:p w14:paraId="0E930218" w14:textId="61AB05F7" w:rsidR="005C00B9" w:rsidRDefault="005C00B9" w:rsidP="005C00B9">
      <w:pPr>
        <w:numPr>
          <w:ilvl w:val="0"/>
          <w:numId w:val="22"/>
        </w:numPr>
      </w:pPr>
      <w:r w:rsidRPr="005C00B9">
        <w:t xml:space="preserve"> Phones, despite selling less in volume, contribute significantly to revenue.</w:t>
      </w:r>
    </w:p>
    <w:p w14:paraId="5E0E5D21" w14:textId="77777777" w:rsidR="00616B8B" w:rsidRDefault="00616B8B" w:rsidP="00616B8B">
      <w:pPr>
        <w:pStyle w:val="ListParagraph"/>
        <w:numPr>
          <w:ilvl w:val="0"/>
          <w:numId w:val="22"/>
        </w:numPr>
      </w:pPr>
      <w:r w:rsidRPr="00616B8B">
        <w:rPr>
          <w:b/>
          <w:bCs/>
        </w:rPr>
        <w:lastRenderedPageBreak/>
        <w:t>Action</w:t>
      </w:r>
      <w:r w:rsidRPr="005C00B9">
        <w:t>: Focus on high-margin subcategories (like Phones and Chairs) for profitability. Use bundling strategies to increase the average order value of lower-margin, high-volume items.</w:t>
      </w:r>
    </w:p>
    <w:p w14:paraId="51A28ECA" w14:textId="77777777" w:rsidR="00616B8B" w:rsidRPr="00616B8B" w:rsidRDefault="00616B8B" w:rsidP="00616B8B">
      <w:pPr>
        <w:numPr>
          <w:ilvl w:val="0"/>
          <w:numId w:val="22"/>
        </w:numPr>
      </w:pPr>
      <w:r w:rsidRPr="00616B8B">
        <w:t>Prioritize and promote high-revenue subcategories (e.g., Phones, Chairs).</w:t>
      </w:r>
    </w:p>
    <w:p w14:paraId="1DBFB1A2" w14:textId="77777777" w:rsidR="00616B8B" w:rsidRPr="005C00B9" w:rsidRDefault="00616B8B" w:rsidP="00616B8B">
      <w:pPr>
        <w:ind w:left="720"/>
      </w:pPr>
    </w:p>
    <w:p w14:paraId="5F4C5F11" w14:textId="77777777" w:rsidR="00C5770C" w:rsidRDefault="00C5770C" w:rsidP="00C5770C"/>
    <w:p w14:paraId="5052FF92" w14:textId="2B11023F" w:rsidR="00C5770C" w:rsidRDefault="00C5770C" w:rsidP="00C5770C">
      <w:r>
        <w:rPr>
          <w:noProof/>
        </w:rPr>
        <w:drawing>
          <wp:inline distT="0" distB="0" distL="0" distR="0" wp14:anchorId="468FE45B" wp14:editId="19385D1D">
            <wp:extent cx="4572000" cy="2743200"/>
            <wp:effectExtent l="0" t="0" r="0" b="0"/>
            <wp:docPr id="5" name="Chart 5">
              <a:extLst xmlns:a="http://schemas.openxmlformats.org/drawingml/2006/main">
                <a:ext uri="{FF2B5EF4-FFF2-40B4-BE49-F238E27FC236}">
                  <a16:creationId xmlns:a16="http://schemas.microsoft.com/office/drawing/2014/main" id="{15865BC8-F303-DACE-F250-664BF465D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78E1E0" w14:textId="77777777" w:rsidR="00616B8B" w:rsidRPr="00616B8B" w:rsidRDefault="00616B8B" w:rsidP="00616B8B">
      <w:pPr>
        <w:rPr>
          <w:b/>
          <w:bCs/>
        </w:rPr>
      </w:pPr>
      <w:r w:rsidRPr="00616B8B">
        <w:rPr>
          <w:b/>
          <w:bCs/>
        </w:rPr>
        <w:t>City by Sales</w:t>
      </w:r>
    </w:p>
    <w:p w14:paraId="0B7E4ECE" w14:textId="77777777" w:rsidR="00616B8B" w:rsidRPr="00616B8B" w:rsidRDefault="00616B8B" w:rsidP="00616B8B">
      <w:pPr>
        <w:numPr>
          <w:ilvl w:val="0"/>
          <w:numId w:val="23"/>
        </w:numPr>
      </w:pPr>
      <w:r w:rsidRPr="00616B8B">
        <w:rPr>
          <w:b/>
          <w:bCs/>
        </w:rPr>
        <w:t>Observation</w:t>
      </w:r>
      <w:r w:rsidRPr="00616B8B">
        <w:t xml:space="preserve">: </w:t>
      </w:r>
      <w:r w:rsidRPr="00616B8B">
        <w:rPr>
          <w:b/>
          <w:bCs/>
        </w:rPr>
        <w:t>New York City</w:t>
      </w:r>
      <w:r w:rsidRPr="00616B8B">
        <w:t xml:space="preserve"> leads significantly with </w:t>
      </w:r>
      <w:r w:rsidRPr="00616B8B">
        <w:rPr>
          <w:b/>
          <w:bCs/>
        </w:rPr>
        <w:t>~256K</w:t>
      </w:r>
      <w:r w:rsidRPr="00616B8B">
        <w:t xml:space="preserve"> in sales, followed by </w:t>
      </w:r>
      <w:r w:rsidRPr="00616B8B">
        <w:rPr>
          <w:b/>
          <w:bCs/>
        </w:rPr>
        <w:t>Los Angeles (~175K)</w:t>
      </w:r>
      <w:r w:rsidRPr="00616B8B">
        <w:t xml:space="preserve">. </w:t>
      </w:r>
      <w:r w:rsidRPr="00616B8B">
        <w:rPr>
          <w:b/>
          <w:bCs/>
        </w:rPr>
        <w:t>Houston</w:t>
      </w:r>
      <w:r w:rsidRPr="00616B8B">
        <w:t xml:space="preserve"> lags behind with only </w:t>
      </w:r>
      <w:r w:rsidRPr="00616B8B">
        <w:rPr>
          <w:b/>
          <w:bCs/>
        </w:rPr>
        <w:t>~65K</w:t>
      </w:r>
      <w:r w:rsidRPr="00616B8B">
        <w:t>.</w:t>
      </w:r>
    </w:p>
    <w:p w14:paraId="07A1F534" w14:textId="77777777" w:rsidR="00616B8B" w:rsidRPr="00616B8B" w:rsidRDefault="00616B8B" w:rsidP="00616B8B">
      <w:pPr>
        <w:numPr>
          <w:ilvl w:val="0"/>
          <w:numId w:val="23"/>
        </w:numPr>
      </w:pPr>
      <w:r w:rsidRPr="00616B8B">
        <w:rPr>
          <w:b/>
          <w:bCs/>
        </w:rPr>
        <w:t>Insight</w:t>
      </w:r>
      <w:r w:rsidRPr="00616B8B">
        <w:t>: Urban hubs like NYC and LA show strong market penetration. Houston may represent an untapped or underserved market.</w:t>
      </w:r>
    </w:p>
    <w:p w14:paraId="6B48807D" w14:textId="77777777" w:rsidR="00616B8B" w:rsidRPr="00616B8B" w:rsidRDefault="00616B8B" w:rsidP="00616B8B">
      <w:pPr>
        <w:numPr>
          <w:ilvl w:val="0"/>
          <w:numId w:val="23"/>
        </w:numPr>
      </w:pPr>
      <w:r w:rsidRPr="00616B8B">
        <w:rPr>
          <w:b/>
          <w:bCs/>
        </w:rPr>
        <w:t>Action</w:t>
      </w:r>
      <w:r w:rsidRPr="00616B8B">
        <w:t>: Conduct demographic and competitor analysis in Houston to determine if targeted promotions or local partnerships could boost performance.</w:t>
      </w:r>
    </w:p>
    <w:p w14:paraId="11ECF172" w14:textId="30F060EA" w:rsidR="00616B8B" w:rsidRPr="00616B8B" w:rsidRDefault="00616B8B" w:rsidP="00616B8B">
      <w:pPr>
        <w:ind w:left="720"/>
      </w:pPr>
    </w:p>
    <w:p w14:paraId="49F7506B" w14:textId="1BFB64A2" w:rsidR="00616B8B" w:rsidRPr="00616B8B" w:rsidRDefault="00616B8B" w:rsidP="00616B8B">
      <w:r w:rsidRPr="00616B8B">
        <w:rPr>
          <w:b/>
          <w:bCs/>
        </w:rPr>
        <w:t>City-Level Marketing</w:t>
      </w:r>
      <w:r w:rsidRPr="00616B8B">
        <w:t>:</w:t>
      </w:r>
    </w:p>
    <w:p w14:paraId="2FD506F1" w14:textId="77777777" w:rsidR="00616B8B" w:rsidRPr="00616B8B" w:rsidRDefault="00616B8B" w:rsidP="00616B8B">
      <w:pPr>
        <w:numPr>
          <w:ilvl w:val="0"/>
          <w:numId w:val="27"/>
        </w:numPr>
      </w:pPr>
      <w:r w:rsidRPr="00616B8B">
        <w:t>Double down on what works in NYC and LA.</w:t>
      </w:r>
    </w:p>
    <w:p w14:paraId="1A781EE0" w14:textId="77777777" w:rsidR="00616B8B" w:rsidRPr="00616B8B" w:rsidRDefault="00616B8B" w:rsidP="00616B8B">
      <w:pPr>
        <w:numPr>
          <w:ilvl w:val="0"/>
          <w:numId w:val="27"/>
        </w:numPr>
      </w:pPr>
      <w:r w:rsidRPr="00616B8B">
        <w:t>Launch awareness and engagement initiatives in low-performing cities like Houston.</w:t>
      </w:r>
    </w:p>
    <w:p w14:paraId="0D452A41" w14:textId="6C1400AF" w:rsidR="00616B8B" w:rsidRPr="00616B8B" w:rsidRDefault="00616B8B" w:rsidP="00616B8B">
      <w:r w:rsidRPr="00616B8B">
        <w:rPr>
          <w:b/>
          <w:bCs/>
        </w:rPr>
        <w:t>Dynamic Pricing and Stock Management</w:t>
      </w:r>
      <w:r w:rsidRPr="00616B8B">
        <w:t>:</w:t>
      </w:r>
    </w:p>
    <w:p w14:paraId="3172BFE7" w14:textId="77777777" w:rsidR="00616B8B" w:rsidRPr="00616B8B" w:rsidRDefault="00616B8B" w:rsidP="00616B8B">
      <w:pPr>
        <w:numPr>
          <w:ilvl w:val="0"/>
          <w:numId w:val="28"/>
        </w:numPr>
      </w:pPr>
      <w:r w:rsidRPr="00616B8B">
        <w:t>Leverage sales trends to adjust pricing and restocking strategies—particularly leading into high-performing quarters</w:t>
      </w:r>
    </w:p>
    <w:p w14:paraId="36DFB15D" w14:textId="77777777" w:rsidR="00616B8B" w:rsidRPr="00EC6DE5" w:rsidRDefault="00616B8B" w:rsidP="00C5770C"/>
    <w:p w14:paraId="640436A4" w14:textId="77777777" w:rsidR="00EC6DE5" w:rsidRPr="00EC6DE5" w:rsidRDefault="00EC6DE5" w:rsidP="00EC6DE5">
      <w:pPr>
        <w:rPr>
          <w:b/>
          <w:bCs/>
        </w:rPr>
      </w:pPr>
      <w:r w:rsidRPr="00EC6DE5">
        <w:rPr>
          <w:b/>
          <w:bCs/>
        </w:rPr>
        <w:lastRenderedPageBreak/>
        <w:t>8. Recommendations and Observations</w:t>
      </w:r>
    </w:p>
    <w:p w14:paraId="10B11696" w14:textId="77777777" w:rsidR="00EC6DE5" w:rsidRPr="00EC6DE5" w:rsidRDefault="00EC6DE5" w:rsidP="00EC6DE5">
      <w:r w:rsidRPr="00EC6DE5">
        <w:t>Based on the analysis, the following recommendations are proposed:</w:t>
      </w:r>
    </w:p>
    <w:p w14:paraId="74BC2645" w14:textId="77777777" w:rsidR="00EC6DE5" w:rsidRPr="00EC6DE5" w:rsidRDefault="00EC6DE5" w:rsidP="00EC6DE5">
      <w:pPr>
        <w:numPr>
          <w:ilvl w:val="0"/>
          <w:numId w:val="17"/>
        </w:numPr>
      </w:pPr>
      <w:r w:rsidRPr="00EC6DE5">
        <w:t>Expand in High-Sales Regions: Allocate more resources and marketing efforts in the West and South regions to maximize sales opportunities.</w:t>
      </w:r>
    </w:p>
    <w:p w14:paraId="71152497" w14:textId="77777777" w:rsidR="00EC6DE5" w:rsidRPr="00EC6DE5" w:rsidRDefault="00EC6DE5" w:rsidP="00EC6DE5">
      <w:pPr>
        <w:numPr>
          <w:ilvl w:val="0"/>
          <w:numId w:val="17"/>
        </w:numPr>
      </w:pPr>
      <w:r w:rsidRPr="00EC6DE5">
        <w:t>Inventory Optimization: Increase stock levels for high-quantity subcategories like Binders and Paper to meet customer demand and prevent stockouts.</w:t>
      </w:r>
    </w:p>
    <w:p w14:paraId="5329BB0D" w14:textId="77777777" w:rsidR="00EC6DE5" w:rsidRPr="00EC6DE5" w:rsidRDefault="00EC6DE5" w:rsidP="00EC6DE5">
      <w:pPr>
        <w:numPr>
          <w:ilvl w:val="0"/>
          <w:numId w:val="17"/>
        </w:numPr>
      </w:pPr>
      <w:r w:rsidRPr="00EC6DE5">
        <w:t>Customer Retention Strategies: Introduce loyalty programs targeting top customers to enhance retention and encourage repeat purchases.</w:t>
      </w:r>
    </w:p>
    <w:p w14:paraId="02F9C7DB" w14:textId="77777777" w:rsidR="00EC6DE5" w:rsidRPr="00EC6DE5" w:rsidRDefault="00EC6DE5" w:rsidP="00EC6DE5">
      <w:pPr>
        <w:numPr>
          <w:ilvl w:val="0"/>
          <w:numId w:val="17"/>
        </w:numPr>
      </w:pPr>
      <w:r w:rsidRPr="00EC6DE5">
        <w:t>City-Level Campaigns: Launch promotional events in high-performing cities such as New York City and Los Angeles to drive additional sales.</w:t>
      </w:r>
    </w:p>
    <w:p w14:paraId="4374BFC6" w14:textId="77777777" w:rsidR="00EC6DE5" w:rsidRPr="00EC6DE5" w:rsidRDefault="00EC6DE5" w:rsidP="00EC6DE5">
      <w:pPr>
        <w:numPr>
          <w:ilvl w:val="0"/>
          <w:numId w:val="17"/>
        </w:numPr>
      </w:pPr>
      <w:r w:rsidRPr="00EC6DE5">
        <w:t>Seasonal Strategies: Plan product launches and discounts around Q4 to align with peak shopping periods and maximize traction.</w:t>
      </w:r>
    </w:p>
    <w:p w14:paraId="70EDF701" w14:textId="77777777" w:rsidR="00EC6DE5" w:rsidRPr="00EC6DE5" w:rsidRDefault="00EC6DE5" w:rsidP="00EC6DE5">
      <w:pPr>
        <w:rPr>
          <w:b/>
          <w:bCs/>
        </w:rPr>
      </w:pPr>
      <w:r w:rsidRPr="00EC6DE5">
        <w:rPr>
          <w:b/>
          <w:bCs/>
        </w:rPr>
        <w:t>9. Conclusion</w:t>
      </w:r>
    </w:p>
    <w:p w14:paraId="7429DDAB" w14:textId="77777777" w:rsidR="00EC6DE5" w:rsidRPr="00EC6DE5" w:rsidRDefault="00EC6DE5" w:rsidP="00EC6DE5">
      <w:proofErr w:type="spellStart"/>
      <w:r w:rsidRPr="00EC6DE5">
        <w:t>Traco</w:t>
      </w:r>
      <w:proofErr w:type="spellEnd"/>
      <w:r w:rsidRPr="00EC6DE5">
        <w:t xml:space="preserve"> Superstore demonstrated consistent growth and strategic product performance over the 2014–2017 period. By leveraging the insights gained from this analysis, the business can implement targeted actions that enhance profitability, improve customer satisfaction, and strengthen market presence. The findings underscore the importance of data-driven decision-making in navigating the competitive retail landscape.</w:t>
      </w:r>
    </w:p>
    <w:p w14:paraId="3023125B" w14:textId="77777777" w:rsidR="00EC6DE5" w:rsidRPr="00EC6DE5" w:rsidRDefault="00EC6DE5" w:rsidP="00EC6DE5">
      <w:pPr>
        <w:rPr>
          <w:b/>
          <w:bCs/>
        </w:rPr>
      </w:pPr>
      <w:r w:rsidRPr="00EC6DE5">
        <w:rPr>
          <w:b/>
          <w:bCs/>
        </w:rPr>
        <w:t>References</w:t>
      </w:r>
    </w:p>
    <w:p w14:paraId="4C83EAA6" w14:textId="77777777" w:rsidR="00EC6DE5" w:rsidRPr="00EC6DE5" w:rsidRDefault="00EC6DE5" w:rsidP="00EC6DE5">
      <w:pPr>
        <w:numPr>
          <w:ilvl w:val="0"/>
          <w:numId w:val="18"/>
        </w:numPr>
      </w:pPr>
      <w:r w:rsidRPr="00EC6DE5">
        <w:t xml:space="preserve">Data Source: </w:t>
      </w:r>
      <w:proofErr w:type="spellStart"/>
      <w:r w:rsidRPr="00EC6DE5">
        <w:t>Traco</w:t>
      </w:r>
      <w:proofErr w:type="spellEnd"/>
      <w:r w:rsidRPr="00EC6DE5">
        <w:t xml:space="preserve"> Superstore Transactional Data (2014–2017).</w:t>
      </w:r>
    </w:p>
    <w:p w14:paraId="7BCDC7FB" w14:textId="1BA55CAA" w:rsidR="00EC6DE5" w:rsidRPr="00EC6DE5" w:rsidRDefault="00EC6DE5" w:rsidP="00EC6DE5">
      <w:pPr>
        <w:numPr>
          <w:ilvl w:val="0"/>
          <w:numId w:val="18"/>
        </w:numPr>
      </w:pPr>
      <w:r w:rsidRPr="00EC6DE5">
        <w:t>Visualization Tool: Business Intelligence Dashboard (</w:t>
      </w:r>
      <w:r w:rsidR="00616B8B">
        <w:t>Excel,</w:t>
      </w:r>
      <w:r w:rsidRPr="00EC6DE5">
        <w:t>).</w:t>
      </w:r>
    </w:p>
    <w:p w14:paraId="207DD4AF" w14:textId="77777777" w:rsidR="00EC6DE5" w:rsidRPr="00EC6DE5" w:rsidRDefault="00EC6DE5" w:rsidP="00EC6DE5">
      <w:pPr>
        <w:rPr>
          <w:b/>
          <w:bCs/>
        </w:rPr>
      </w:pPr>
      <w:r w:rsidRPr="00EC6DE5">
        <w:rPr>
          <w:b/>
          <w:bCs/>
        </w:rPr>
        <w:t>Appendices</w:t>
      </w:r>
    </w:p>
    <w:p w14:paraId="1654F1A7" w14:textId="77777777" w:rsidR="00EC6DE5" w:rsidRPr="00EC6DE5" w:rsidRDefault="00EC6DE5" w:rsidP="00EC6DE5">
      <w:pPr>
        <w:numPr>
          <w:ilvl w:val="0"/>
          <w:numId w:val="19"/>
        </w:numPr>
      </w:pPr>
      <w:r w:rsidRPr="00EC6DE5">
        <w:t>Appendix A: Sales Data by Quarter - Detailed tables showing quarterly sales figures.</w:t>
      </w:r>
    </w:p>
    <w:p w14:paraId="53C7505C" w14:textId="77777777" w:rsidR="00EC6DE5" w:rsidRPr="00EC6DE5" w:rsidRDefault="00EC6DE5" w:rsidP="00EC6DE5">
      <w:pPr>
        <w:numPr>
          <w:ilvl w:val="0"/>
          <w:numId w:val="19"/>
        </w:numPr>
      </w:pPr>
      <w:r w:rsidRPr="00EC6DE5">
        <w:t>Appendix B: Customer Segment Breakdown - Analysis of customer demographics and purchasing behavior.</w:t>
      </w:r>
    </w:p>
    <w:p w14:paraId="600B5F49" w14:textId="77777777" w:rsidR="00DF69AB" w:rsidRPr="00EC6DE5" w:rsidRDefault="00DF69AB" w:rsidP="00EC6DE5"/>
    <w:sectPr w:rsidR="00DF69AB" w:rsidRPr="00EC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5E7"/>
    <w:multiLevelType w:val="multilevel"/>
    <w:tmpl w:val="A0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5772"/>
    <w:multiLevelType w:val="multilevel"/>
    <w:tmpl w:val="17FA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76A45"/>
    <w:multiLevelType w:val="multilevel"/>
    <w:tmpl w:val="4F6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40420"/>
    <w:multiLevelType w:val="multilevel"/>
    <w:tmpl w:val="ECC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D7520"/>
    <w:multiLevelType w:val="multilevel"/>
    <w:tmpl w:val="38B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94855"/>
    <w:multiLevelType w:val="multilevel"/>
    <w:tmpl w:val="2B82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57D3D"/>
    <w:multiLevelType w:val="multilevel"/>
    <w:tmpl w:val="CC4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8054D"/>
    <w:multiLevelType w:val="multilevel"/>
    <w:tmpl w:val="1C54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F3834"/>
    <w:multiLevelType w:val="multilevel"/>
    <w:tmpl w:val="C02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C52ED"/>
    <w:multiLevelType w:val="multilevel"/>
    <w:tmpl w:val="139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F0911"/>
    <w:multiLevelType w:val="multilevel"/>
    <w:tmpl w:val="123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48D1"/>
    <w:multiLevelType w:val="multilevel"/>
    <w:tmpl w:val="679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241E0"/>
    <w:multiLevelType w:val="multilevel"/>
    <w:tmpl w:val="DA1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31DC7"/>
    <w:multiLevelType w:val="multilevel"/>
    <w:tmpl w:val="14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F908E3"/>
    <w:multiLevelType w:val="multilevel"/>
    <w:tmpl w:val="2B6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12019"/>
    <w:multiLevelType w:val="multilevel"/>
    <w:tmpl w:val="116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B63FA8"/>
    <w:multiLevelType w:val="multilevel"/>
    <w:tmpl w:val="BCC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55F07"/>
    <w:multiLevelType w:val="multilevel"/>
    <w:tmpl w:val="D4C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C480C"/>
    <w:multiLevelType w:val="multilevel"/>
    <w:tmpl w:val="69FC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61739"/>
    <w:multiLevelType w:val="multilevel"/>
    <w:tmpl w:val="52DC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B199A"/>
    <w:multiLevelType w:val="multilevel"/>
    <w:tmpl w:val="D61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D76B4"/>
    <w:multiLevelType w:val="multilevel"/>
    <w:tmpl w:val="433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55E5C"/>
    <w:multiLevelType w:val="multilevel"/>
    <w:tmpl w:val="59742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B75C8"/>
    <w:multiLevelType w:val="multilevel"/>
    <w:tmpl w:val="883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A4E65"/>
    <w:multiLevelType w:val="multilevel"/>
    <w:tmpl w:val="726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2402C"/>
    <w:multiLevelType w:val="multilevel"/>
    <w:tmpl w:val="2ED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67280"/>
    <w:multiLevelType w:val="multilevel"/>
    <w:tmpl w:val="B16AC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E41A91"/>
    <w:multiLevelType w:val="multilevel"/>
    <w:tmpl w:val="E3D4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48001">
    <w:abstractNumId w:val="0"/>
  </w:num>
  <w:num w:numId="2" w16cid:durableId="2044817103">
    <w:abstractNumId w:val="7"/>
  </w:num>
  <w:num w:numId="3" w16cid:durableId="394820902">
    <w:abstractNumId w:val="20"/>
  </w:num>
  <w:num w:numId="4" w16cid:durableId="1206521641">
    <w:abstractNumId w:val="22"/>
  </w:num>
  <w:num w:numId="5" w16cid:durableId="2132823271">
    <w:abstractNumId w:val="17"/>
  </w:num>
  <w:num w:numId="6" w16cid:durableId="1081486832">
    <w:abstractNumId w:val="27"/>
  </w:num>
  <w:num w:numId="7" w16cid:durableId="685133507">
    <w:abstractNumId w:val="2"/>
  </w:num>
  <w:num w:numId="8" w16cid:durableId="1261914849">
    <w:abstractNumId w:val="18"/>
  </w:num>
  <w:num w:numId="9" w16cid:durableId="451246493">
    <w:abstractNumId w:val="3"/>
  </w:num>
  <w:num w:numId="10" w16cid:durableId="1887568293">
    <w:abstractNumId w:val="16"/>
  </w:num>
  <w:num w:numId="11" w16cid:durableId="1023630399">
    <w:abstractNumId w:val="14"/>
  </w:num>
  <w:num w:numId="12" w16cid:durableId="66460377">
    <w:abstractNumId w:val="8"/>
  </w:num>
  <w:num w:numId="13" w16cid:durableId="215623808">
    <w:abstractNumId w:val="12"/>
  </w:num>
  <w:num w:numId="14" w16cid:durableId="1908412640">
    <w:abstractNumId w:val="1"/>
  </w:num>
  <w:num w:numId="15" w16cid:durableId="1803040233">
    <w:abstractNumId w:val="4"/>
  </w:num>
  <w:num w:numId="16" w16cid:durableId="1085611648">
    <w:abstractNumId w:val="26"/>
  </w:num>
  <w:num w:numId="17" w16cid:durableId="467168514">
    <w:abstractNumId w:val="13"/>
  </w:num>
  <w:num w:numId="18" w16cid:durableId="1307666883">
    <w:abstractNumId w:val="15"/>
  </w:num>
  <w:num w:numId="19" w16cid:durableId="1447844082">
    <w:abstractNumId w:val="9"/>
  </w:num>
  <w:num w:numId="20" w16cid:durableId="726152938">
    <w:abstractNumId w:val="21"/>
  </w:num>
  <w:num w:numId="21" w16cid:durableId="1267612808">
    <w:abstractNumId w:val="10"/>
  </w:num>
  <w:num w:numId="22" w16cid:durableId="200098428">
    <w:abstractNumId w:val="5"/>
  </w:num>
  <w:num w:numId="23" w16cid:durableId="573244299">
    <w:abstractNumId w:val="11"/>
  </w:num>
  <w:num w:numId="24" w16cid:durableId="1790590167">
    <w:abstractNumId w:val="6"/>
  </w:num>
  <w:num w:numId="25" w16cid:durableId="175704166">
    <w:abstractNumId w:val="19"/>
  </w:num>
  <w:num w:numId="26" w16cid:durableId="1113984156">
    <w:abstractNumId w:val="23"/>
  </w:num>
  <w:num w:numId="27" w16cid:durableId="1366324224">
    <w:abstractNumId w:val="25"/>
  </w:num>
  <w:num w:numId="28" w16cid:durableId="12366697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C6"/>
    <w:rsid w:val="003122FE"/>
    <w:rsid w:val="00355EEF"/>
    <w:rsid w:val="004463C6"/>
    <w:rsid w:val="0059023F"/>
    <w:rsid w:val="005C00B9"/>
    <w:rsid w:val="00616B8B"/>
    <w:rsid w:val="00C5770C"/>
    <w:rsid w:val="00DF69AB"/>
    <w:rsid w:val="00EC6DE5"/>
    <w:rsid w:val="00EF3158"/>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E828"/>
  <w15:chartTrackingRefBased/>
  <w15:docId w15:val="{0D04FDE7-AA60-43B3-9C72-B33020F9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446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3C6"/>
    <w:rPr>
      <w:rFonts w:eastAsiaTheme="majorEastAsia" w:cstheme="majorBidi"/>
      <w:color w:val="272727" w:themeColor="text1" w:themeTint="D8"/>
    </w:rPr>
  </w:style>
  <w:style w:type="paragraph" w:styleId="Title">
    <w:name w:val="Title"/>
    <w:basedOn w:val="Normal"/>
    <w:next w:val="Normal"/>
    <w:link w:val="TitleChar"/>
    <w:uiPriority w:val="10"/>
    <w:qFormat/>
    <w:rsid w:val="00446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3C6"/>
    <w:pPr>
      <w:spacing w:before="160"/>
      <w:jc w:val="center"/>
    </w:pPr>
    <w:rPr>
      <w:i/>
      <w:iCs/>
      <w:color w:val="404040" w:themeColor="text1" w:themeTint="BF"/>
    </w:rPr>
  </w:style>
  <w:style w:type="character" w:customStyle="1" w:styleId="QuoteChar">
    <w:name w:val="Quote Char"/>
    <w:basedOn w:val="DefaultParagraphFont"/>
    <w:link w:val="Quote"/>
    <w:uiPriority w:val="29"/>
    <w:rsid w:val="004463C6"/>
    <w:rPr>
      <w:i/>
      <w:iCs/>
      <w:color w:val="404040" w:themeColor="text1" w:themeTint="BF"/>
    </w:rPr>
  </w:style>
  <w:style w:type="paragraph" w:styleId="ListParagraph">
    <w:name w:val="List Paragraph"/>
    <w:basedOn w:val="Normal"/>
    <w:uiPriority w:val="34"/>
    <w:qFormat/>
    <w:rsid w:val="004463C6"/>
    <w:pPr>
      <w:ind w:left="720"/>
      <w:contextualSpacing/>
    </w:pPr>
  </w:style>
  <w:style w:type="character" w:styleId="IntenseEmphasis">
    <w:name w:val="Intense Emphasis"/>
    <w:basedOn w:val="DefaultParagraphFont"/>
    <w:uiPriority w:val="21"/>
    <w:qFormat/>
    <w:rsid w:val="004463C6"/>
    <w:rPr>
      <w:i/>
      <w:iCs/>
      <w:color w:val="0F4761" w:themeColor="accent1" w:themeShade="BF"/>
    </w:rPr>
  </w:style>
  <w:style w:type="paragraph" w:styleId="IntenseQuote">
    <w:name w:val="Intense Quote"/>
    <w:basedOn w:val="Normal"/>
    <w:next w:val="Normal"/>
    <w:link w:val="IntenseQuoteChar"/>
    <w:uiPriority w:val="30"/>
    <w:qFormat/>
    <w:rsid w:val="00446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3C6"/>
    <w:rPr>
      <w:i/>
      <w:iCs/>
      <w:color w:val="0F4761" w:themeColor="accent1" w:themeShade="BF"/>
    </w:rPr>
  </w:style>
  <w:style w:type="character" w:styleId="IntenseReference">
    <w:name w:val="Intense Reference"/>
    <w:basedOn w:val="DefaultParagraphFont"/>
    <w:uiPriority w:val="32"/>
    <w:qFormat/>
    <w:rsid w:val="00446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324">
      <w:bodyDiv w:val="1"/>
      <w:marLeft w:val="0"/>
      <w:marRight w:val="0"/>
      <w:marTop w:val="0"/>
      <w:marBottom w:val="0"/>
      <w:divBdr>
        <w:top w:val="none" w:sz="0" w:space="0" w:color="auto"/>
        <w:left w:val="none" w:sz="0" w:space="0" w:color="auto"/>
        <w:bottom w:val="none" w:sz="0" w:space="0" w:color="auto"/>
        <w:right w:val="none" w:sz="0" w:space="0" w:color="auto"/>
      </w:divBdr>
    </w:div>
    <w:div w:id="138425359">
      <w:bodyDiv w:val="1"/>
      <w:marLeft w:val="0"/>
      <w:marRight w:val="0"/>
      <w:marTop w:val="0"/>
      <w:marBottom w:val="0"/>
      <w:divBdr>
        <w:top w:val="none" w:sz="0" w:space="0" w:color="auto"/>
        <w:left w:val="none" w:sz="0" w:space="0" w:color="auto"/>
        <w:bottom w:val="none" w:sz="0" w:space="0" w:color="auto"/>
        <w:right w:val="none" w:sz="0" w:space="0" w:color="auto"/>
      </w:divBdr>
    </w:div>
    <w:div w:id="236130150">
      <w:bodyDiv w:val="1"/>
      <w:marLeft w:val="0"/>
      <w:marRight w:val="0"/>
      <w:marTop w:val="0"/>
      <w:marBottom w:val="0"/>
      <w:divBdr>
        <w:top w:val="none" w:sz="0" w:space="0" w:color="auto"/>
        <w:left w:val="none" w:sz="0" w:space="0" w:color="auto"/>
        <w:bottom w:val="none" w:sz="0" w:space="0" w:color="auto"/>
        <w:right w:val="none" w:sz="0" w:space="0" w:color="auto"/>
      </w:divBdr>
    </w:div>
    <w:div w:id="239490840">
      <w:bodyDiv w:val="1"/>
      <w:marLeft w:val="0"/>
      <w:marRight w:val="0"/>
      <w:marTop w:val="0"/>
      <w:marBottom w:val="0"/>
      <w:divBdr>
        <w:top w:val="none" w:sz="0" w:space="0" w:color="auto"/>
        <w:left w:val="none" w:sz="0" w:space="0" w:color="auto"/>
        <w:bottom w:val="none" w:sz="0" w:space="0" w:color="auto"/>
        <w:right w:val="none" w:sz="0" w:space="0" w:color="auto"/>
      </w:divBdr>
    </w:div>
    <w:div w:id="292908853">
      <w:bodyDiv w:val="1"/>
      <w:marLeft w:val="0"/>
      <w:marRight w:val="0"/>
      <w:marTop w:val="0"/>
      <w:marBottom w:val="0"/>
      <w:divBdr>
        <w:top w:val="none" w:sz="0" w:space="0" w:color="auto"/>
        <w:left w:val="none" w:sz="0" w:space="0" w:color="auto"/>
        <w:bottom w:val="none" w:sz="0" w:space="0" w:color="auto"/>
        <w:right w:val="none" w:sz="0" w:space="0" w:color="auto"/>
      </w:divBdr>
    </w:div>
    <w:div w:id="335112551">
      <w:bodyDiv w:val="1"/>
      <w:marLeft w:val="0"/>
      <w:marRight w:val="0"/>
      <w:marTop w:val="0"/>
      <w:marBottom w:val="0"/>
      <w:divBdr>
        <w:top w:val="none" w:sz="0" w:space="0" w:color="auto"/>
        <w:left w:val="none" w:sz="0" w:space="0" w:color="auto"/>
        <w:bottom w:val="none" w:sz="0" w:space="0" w:color="auto"/>
        <w:right w:val="none" w:sz="0" w:space="0" w:color="auto"/>
      </w:divBdr>
    </w:div>
    <w:div w:id="424303214">
      <w:bodyDiv w:val="1"/>
      <w:marLeft w:val="0"/>
      <w:marRight w:val="0"/>
      <w:marTop w:val="0"/>
      <w:marBottom w:val="0"/>
      <w:divBdr>
        <w:top w:val="none" w:sz="0" w:space="0" w:color="auto"/>
        <w:left w:val="none" w:sz="0" w:space="0" w:color="auto"/>
        <w:bottom w:val="none" w:sz="0" w:space="0" w:color="auto"/>
        <w:right w:val="none" w:sz="0" w:space="0" w:color="auto"/>
      </w:divBdr>
    </w:div>
    <w:div w:id="760296552">
      <w:bodyDiv w:val="1"/>
      <w:marLeft w:val="0"/>
      <w:marRight w:val="0"/>
      <w:marTop w:val="0"/>
      <w:marBottom w:val="0"/>
      <w:divBdr>
        <w:top w:val="none" w:sz="0" w:space="0" w:color="auto"/>
        <w:left w:val="none" w:sz="0" w:space="0" w:color="auto"/>
        <w:bottom w:val="none" w:sz="0" w:space="0" w:color="auto"/>
        <w:right w:val="none" w:sz="0" w:space="0" w:color="auto"/>
      </w:divBdr>
    </w:div>
    <w:div w:id="1037311545">
      <w:bodyDiv w:val="1"/>
      <w:marLeft w:val="0"/>
      <w:marRight w:val="0"/>
      <w:marTop w:val="0"/>
      <w:marBottom w:val="0"/>
      <w:divBdr>
        <w:top w:val="none" w:sz="0" w:space="0" w:color="auto"/>
        <w:left w:val="none" w:sz="0" w:space="0" w:color="auto"/>
        <w:bottom w:val="none" w:sz="0" w:space="0" w:color="auto"/>
        <w:right w:val="none" w:sz="0" w:space="0" w:color="auto"/>
      </w:divBdr>
    </w:div>
    <w:div w:id="1296064339">
      <w:bodyDiv w:val="1"/>
      <w:marLeft w:val="0"/>
      <w:marRight w:val="0"/>
      <w:marTop w:val="0"/>
      <w:marBottom w:val="0"/>
      <w:divBdr>
        <w:top w:val="none" w:sz="0" w:space="0" w:color="auto"/>
        <w:left w:val="none" w:sz="0" w:space="0" w:color="auto"/>
        <w:bottom w:val="none" w:sz="0" w:space="0" w:color="auto"/>
        <w:right w:val="none" w:sz="0" w:space="0" w:color="auto"/>
      </w:divBdr>
    </w:div>
    <w:div w:id="1381662645">
      <w:bodyDiv w:val="1"/>
      <w:marLeft w:val="0"/>
      <w:marRight w:val="0"/>
      <w:marTop w:val="0"/>
      <w:marBottom w:val="0"/>
      <w:divBdr>
        <w:top w:val="none" w:sz="0" w:space="0" w:color="auto"/>
        <w:left w:val="none" w:sz="0" w:space="0" w:color="auto"/>
        <w:bottom w:val="none" w:sz="0" w:space="0" w:color="auto"/>
        <w:right w:val="none" w:sz="0" w:space="0" w:color="auto"/>
      </w:divBdr>
    </w:div>
    <w:div w:id="1580748296">
      <w:bodyDiv w:val="1"/>
      <w:marLeft w:val="0"/>
      <w:marRight w:val="0"/>
      <w:marTop w:val="0"/>
      <w:marBottom w:val="0"/>
      <w:divBdr>
        <w:top w:val="none" w:sz="0" w:space="0" w:color="auto"/>
        <w:left w:val="none" w:sz="0" w:space="0" w:color="auto"/>
        <w:bottom w:val="none" w:sz="0" w:space="0" w:color="auto"/>
        <w:right w:val="none" w:sz="0" w:space="0" w:color="auto"/>
      </w:divBdr>
    </w:div>
    <w:div w:id="1924872777">
      <w:bodyDiv w:val="1"/>
      <w:marLeft w:val="0"/>
      <w:marRight w:val="0"/>
      <w:marTop w:val="0"/>
      <w:marBottom w:val="0"/>
      <w:divBdr>
        <w:top w:val="none" w:sz="0" w:space="0" w:color="auto"/>
        <w:left w:val="none" w:sz="0" w:space="0" w:color="auto"/>
        <w:bottom w:val="none" w:sz="0" w:space="0" w:color="auto"/>
        <w:right w:val="none" w:sz="0" w:space="0" w:color="auto"/>
      </w:divBdr>
    </w:div>
    <w:div w:id="194421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TASK%2015\TASK%2015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TASK%2015\TASK%2015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TASK%2015\TASK%2015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TASK%2015\TASK%2015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TASK%2015\TASK%2015B.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15B.xlsx]Order Date By Sales!PivotTable2</c:name>
    <c:fmtId val="-1"/>
  </c:pivotSource>
  <c:chart>
    <c:title>
      <c:tx>
        <c:rich>
          <a:bodyPr rot="0" spcFirstLastPara="1" vertOverflow="ellipsis" vert="horz" wrap="square" anchor="ctr" anchorCtr="1"/>
          <a:lstStyle/>
          <a:p>
            <a:pPr>
              <a:defRPr sz="1200" b="1" i="0" u="none" strike="noStrike" kern="1200" spc="0" baseline="0">
                <a:solidFill>
                  <a:schemeClr val="accent2">
                    <a:lumMod val="50000"/>
                  </a:schemeClr>
                </a:solidFill>
                <a:latin typeface="+mn-lt"/>
                <a:ea typeface="+mn-ea"/>
                <a:cs typeface="+mn-cs"/>
              </a:defRPr>
            </a:pPr>
            <a:r>
              <a:rPr lang="en-US" sz="1200" b="1">
                <a:solidFill>
                  <a:schemeClr val="accent2">
                    <a:lumMod val="50000"/>
                  </a:schemeClr>
                </a:solidFill>
              </a:rPr>
              <a:t>Order</a:t>
            </a:r>
            <a:r>
              <a:rPr lang="en-US" sz="1200" b="1" baseline="0">
                <a:solidFill>
                  <a:schemeClr val="accent2">
                    <a:lumMod val="50000"/>
                  </a:schemeClr>
                </a:solidFill>
              </a:rPr>
              <a:t> Date By Sales</a:t>
            </a:r>
            <a:endParaRPr lang="en-US" sz="1200" b="1">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accent2">
                  <a:lumMod val="50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Date By Sales'!$B$3</c:f>
              <c:strCache>
                <c:ptCount val="1"/>
                <c:pt idx="0">
                  <c:v>Total</c:v>
                </c:pt>
              </c:strCache>
            </c:strRef>
          </c:tx>
          <c:spPr>
            <a:ln w="28575" cap="rnd">
              <a:solidFill>
                <a:schemeClr val="accent2">
                  <a:lumMod val="5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'Order Date By Sales'!$A$4:$A$24</c:f>
              <c:multiLvlStrCache>
                <c:ptCount val="16"/>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lvl>
                <c:lvl>
                  <c:pt idx="0">
                    <c:v>2014</c:v>
                  </c:pt>
                  <c:pt idx="4">
                    <c:v>2015</c:v>
                  </c:pt>
                  <c:pt idx="8">
                    <c:v>2016</c:v>
                  </c:pt>
                  <c:pt idx="12">
                    <c:v>2017</c:v>
                  </c:pt>
                </c:lvl>
              </c:multiLvlStrCache>
            </c:multiLvlStrRef>
          </c:cat>
          <c:val>
            <c:numRef>
              <c:f>'Order Date By Sales'!$B$4:$B$24</c:f>
              <c:numCache>
                <c:formatCode>General</c:formatCode>
                <c:ptCount val="16"/>
                <c:pt idx="0">
                  <c:v>74447.796000000104</c:v>
                </c:pt>
                <c:pt idx="1">
                  <c:v>86538.759600000005</c:v>
                </c:pt>
                <c:pt idx="2">
                  <c:v>143633.21229999998</c:v>
                </c:pt>
                <c:pt idx="3">
                  <c:v>179627.73020000022</c:v>
                </c:pt>
                <c:pt idx="4">
                  <c:v>68851.738599999939</c:v>
                </c:pt>
                <c:pt idx="5">
                  <c:v>89124.186999999874</c:v>
                </c:pt>
                <c:pt idx="6">
                  <c:v>130259.57519999996</c:v>
                </c:pt>
                <c:pt idx="7">
                  <c:v>182297.00819999998</c:v>
                </c:pt>
                <c:pt idx="8">
                  <c:v>93237.180999999953</c:v>
                </c:pt>
                <c:pt idx="9">
                  <c:v>136082.30100000001</c:v>
                </c:pt>
                <c:pt idx="10">
                  <c:v>143787.36219999992</c:v>
                </c:pt>
                <c:pt idx="11">
                  <c:v>236098.75379999995</c:v>
                </c:pt>
                <c:pt idx="12">
                  <c:v>123144.86019999994</c:v>
                </c:pt>
                <c:pt idx="13">
                  <c:v>133764.37199999994</c:v>
                </c:pt>
                <c:pt idx="14">
                  <c:v>196251.95600000018</c:v>
                </c:pt>
                <c:pt idx="15">
                  <c:v>280054.06699999998</c:v>
                </c:pt>
              </c:numCache>
            </c:numRef>
          </c:val>
          <c:smooth val="0"/>
          <c:extLst>
            <c:ext xmlns:c16="http://schemas.microsoft.com/office/drawing/2014/chart" uri="{C3380CC4-5D6E-409C-BE32-E72D297353CC}">
              <c16:uniqueId val="{00000000-AA2B-45EB-A7A3-9D44021DCF10}"/>
            </c:ext>
          </c:extLst>
        </c:ser>
        <c:dLbls>
          <c:dLblPos val="t"/>
          <c:showLegendKey val="0"/>
          <c:showVal val="1"/>
          <c:showCatName val="0"/>
          <c:showSerName val="0"/>
          <c:showPercent val="0"/>
          <c:showBubbleSize val="0"/>
        </c:dLbls>
        <c:smooth val="0"/>
        <c:axId val="2041684911"/>
        <c:axId val="2041681071"/>
      </c:lineChart>
      <c:catAx>
        <c:axId val="2041684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mn-ea"/>
                <a:cs typeface="+mn-cs"/>
              </a:defRPr>
            </a:pPr>
            <a:endParaRPr lang="en-US"/>
          </a:p>
        </c:txPr>
        <c:crossAx val="2041681071"/>
        <c:crosses val="autoZero"/>
        <c:auto val="1"/>
        <c:lblAlgn val="ctr"/>
        <c:lblOffset val="100"/>
        <c:noMultiLvlLbl val="0"/>
      </c:catAx>
      <c:valAx>
        <c:axId val="2041681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mn-ea"/>
                <a:cs typeface="+mn-cs"/>
              </a:defRPr>
            </a:pPr>
            <a:endParaRPr lang="en-US"/>
          </a:p>
        </c:txPr>
        <c:crossAx val="2041684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15B.xlsx]Region By Sales!PivotTable7</c:name>
    <c:fmtId val="-1"/>
  </c:pivotSource>
  <c:chart>
    <c:title>
      <c:tx>
        <c:rich>
          <a:bodyPr rot="0" spcFirstLastPara="1" vertOverflow="ellipsis" vert="horz" wrap="square" anchor="ctr" anchorCtr="1"/>
          <a:lstStyle/>
          <a:p>
            <a:pPr>
              <a:defRPr sz="1200" b="1" i="0" u="none" strike="noStrike" kern="1200" spc="0" baseline="0">
                <a:solidFill>
                  <a:schemeClr val="accent2">
                    <a:lumMod val="50000"/>
                  </a:schemeClr>
                </a:solidFill>
                <a:latin typeface="+mn-lt"/>
                <a:ea typeface="+mn-ea"/>
                <a:cs typeface="+mn-cs"/>
              </a:defRPr>
            </a:pPr>
            <a:r>
              <a:rPr lang="en-US" sz="1200" b="1">
                <a:solidFill>
                  <a:schemeClr val="accent2">
                    <a:lumMod val="50000"/>
                  </a:schemeClr>
                </a:solidFill>
              </a:rPr>
              <a:t>Region</a:t>
            </a:r>
            <a:r>
              <a:rPr lang="en-US" sz="1200" b="1" baseline="0">
                <a:solidFill>
                  <a:schemeClr val="accent2">
                    <a:lumMod val="50000"/>
                  </a:schemeClr>
                </a:solidFill>
              </a:rPr>
              <a:t> By Sales</a:t>
            </a:r>
            <a:endParaRPr lang="en-US" sz="1200" b="1">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accent2">
                  <a:lumMod val="50000"/>
                </a:schemeClr>
              </a:solidFill>
              <a:latin typeface="+mn-lt"/>
              <a:ea typeface="+mn-ea"/>
              <a:cs typeface="+mn-cs"/>
            </a:defRPr>
          </a:pPr>
          <a:endParaRPr lang="en-US"/>
        </a:p>
      </c:txPr>
    </c:title>
    <c:autoTitleDeleted val="0"/>
    <c:pivotFmts>
      <c:pivotFmt>
        <c:idx val="0"/>
        <c:spPr>
          <a:solidFill>
            <a:schemeClr val="accent2">
              <a:lumMod val="50000"/>
            </a:schemeClr>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75000"/>
            </a:schemeClr>
          </a:solidFill>
          <a:ln w="19050">
            <a:noFill/>
          </a:ln>
          <a:effectLst/>
        </c:spPr>
        <c:dLbl>
          <c:idx val="0"/>
          <c:layout>
            <c:manualLayout>
              <c:x val="7.8907435508345974E-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lumMod val="60000"/>
              <a:lumOff val="40000"/>
            </a:schemeClr>
          </a:solidFill>
          <a:ln w="19050">
            <a:noFill/>
          </a:ln>
          <a:effectLst/>
        </c:spPr>
        <c:dLbl>
          <c:idx val="0"/>
          <c:layout>
            <c:manualLayout>
              <c:x val="-0.15174506828528073"/>
              <c:y val="0.10648148148148148"/>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lumMod val="20000"/>
              <a:lumOff val="80000"/>
            </a:schemeClr>
          </a:solidFill>
          <a:ln w="19050">
            <a:noFill/>
          </a:ln>
          <a:effectLst/>
        </c:spPr>
        <c:dLbl>
          <c:idx val="0"/>
          <c:layout>
            <c:manualLayout>
              <c:x val="-0.13050075872534145"/>
              <c:y val="-0.13425925925925924"/>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lumMod val="50000"/>
            </a:schemeClr>
          </a:solidFill>
          <a:ln w="19050">
            <a:noFill/>
          </a:ln>
          <a:effectLst/>
        </c:spPr>
        <c:dLbl>
          <c:idx val="0"/>
          <c:layout>
            <c:manualLayout>
              <c:x val="0.16691957511380881"/>
              <c:y val="-8.7962962962962965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lumMod val="50000"/>
            </a:schemeClr>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lumMod val="50000"/>
            </a:schemeClr>
          </a:solidFill>
          <a:ln w="19050">
            <a:noFill/>
          </a:ln>
          <a:effectLst/>
        </c:spPr>
        <c:dLbl>
          <c:idx val="0"/>
          <c:layout>
            <c:manualLayout>
              <c:x val="0.16691957511380881"/>
              <c:y val="-8.7962962962962965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lumMod val="75000"/>
            </a:schemeClr>
          </a:solidFill>
          <a:ln w="19050">
            <a:noFill/>
          </a:ln>
          <a:effectLst/>
        </c:spPr>
        <c:dLbl>
          <c:idx val="0"/>
          <c:layout>
            <c:manualLayout>
              <c:x val="7.8907435508345974E-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60000"/>
              <a:lumOff val="40000"/>
            </a:schemeClr>
          </a:solidFill>
          <a:ln w="19050">
            <a:noFill/>
          </a:ln>
          <a:effectLst/>
        </c:spPr>
        <c:dLbl>
          <c:idx val="0"/>
          <c:layout>
            <c:manualLayout>
              <c:x val="-0.15174506828528073"/>
              <c:y val="0.10648148148148148"/>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lumMod val="20000"/>
              <a:lumOff val="80000"/>
            </a:schemeClr>
          </a:solidFill>
          <a:ln w="19050">
            <a:noFill/>
          </a:ln>
          <a:effectLst/>
        </c:spPr>
        <c:dLbl>
          <c:idx val="0"/>
          <c:layout>
            <c:manualLayout>
              <c:x val="-0.13050075872534145"/>
              <c:y val="-0.13425925925925924"/>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lumMod val="50000"/>
            </a:schemeClr>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50000"/>
            </a:schemeClr>
          </a:solidFill>
          <a:ln w="19050">
            <a:noFill/>
          </a:ln>
          <a:effectLst/>
        </c:spPr>
        <c:dLbl>
          <c:idx val="0"/>
          <c:layout>
            <c:manualLayout>
              <c:x val="0.16691957511380881"/>
              <c:y val="-8.7962962962962965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lumMod val="75000"/>
            </a:schemeClr>
          </a:solidFill>
          <a:ln w="19050">
            <a:noFill/>
          </a:ln>
          <a:effectLst/>
        </c:spPr>
        <c:dLbl>
          <c:idx val="0"/>
          <c:layout>
            <c:manualLayout>
              <c:x val="7.8907435508345974E-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2">
              <a:lumMod val="60000"/>
              <a:lumOff val="40000"/>
            </a:schemeClr>
          </a:solidFill>
          <a:ln w="19050">
            <a:noFill/>
          </a:ln>
          <a:effectLst/>
        </c:spPr>
        <c:dLbl>
          <c:idx val="0"/>
          <c:layout>
            <c:manualLayout>
              <c:x val="-0.15174506828528073"/>
              <c:y val="0.10648148148148148"/>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2">
              <a:lumMod val="20000"/>
              <a:lumOff val="80000"/>
            </a:schemeClr>
          </a:solidFill>
          <a:ln w="19050">
            <a:noFill/>
          </a:ln>
          <a:effectLst/>
        </c:spPr>
        <c:dLbl>
          <c:idx val="0"/>
          <c:layout>
            <c:manualLayout>
              <c:x val="-0.13050075872534145"/>
              <c:y val="-0.13425925925925924"/>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'Region By Sales'!$B$3</c:f>
              <c:strCache>
                <c:ptCount val="1"/>
                <c:pt idx="0">
                  <c:v>Total</c:v>
                </c:pt>
              </c:strCache>
            </c:strRef>
          </c:tx>
          <c:spPr>
            <a:solidFill>
              <a:schemeClr val="accent2">
                <a:lumMod val="50000"/>
              </a:schemeClr>
            </a:solidFill>
            <a:ln>
              <a:noFill/>
            </a:ln>
          </c:spPr>
          <c:dPt>
            <c:idx val="0"/>
            <c:bubble3D val="0"/>
            <c:spPr>
              <a:solidFill>
                <a:schemeClr val="accent2">
                  <a:lumMod val="50000"/>
                </a:schemeClr>
              </a:solidFill>
              <a:ln w="19050">
                <a:noFill/>
              </a:ln>
              <a:effectLst/>
            </c:spPr>
            <c:extLst>
              <c:ext xmlns:c16="http://schemas.microsoft.com/office/drawing/2014/chart" uri="{C3380CC4-5D6E-409C-BE32-E72D297353CC}">
                <c16:uniqueId val="{00000001-C595-437F-A9A9-077DC533ABD7}"/>
              </c:ext>
            </c:extLst>
          </c:dPt>
          <c:dPt>
            <c:idx val="1"/>
            <c:bubble3D val="0"/>
            <c:spPr>
              <a:solidFill>
                <a:schemeClr val="accent2">
                  <a:lumMod val="75000"/>
                </a:schemeClr>
              </a:solidFill>
              <a:ln w="19050">
                <a:noFill/>
              </a:ln>
              <a:effectLst/>
            </c:spPr>
            <c:extLst>
              <c:ext xmlns:c16="http://schemas.microsoft.com/office/drawing/2014/chart" uri="{C3380CC4-5D6E-409C-BE32-E72D297353CC}">
                <c16:uniqueId val="{00000003-C595-437F-A9A9-077DC533ABD7}"/>
              </c:ext>
            </c:extLst>
          </c:dPt>
          <c:dPt>
            <c:idx val="2"/>
            <c:bubble3D val="0"/>
            <c:spPr>
              <a:solidFill>
                <a:schemeClr val="accent2">
                  <a:lumMod val="60000"/>
                  <a:lumOff val="40000"/>
                </a:schemeClr>
              </a:solidFill>
              <a:ln w="19050">
                <a:noFill/>
              </a:ln>
              <a:effectLst/>
            </c:spPr>
            <c:extLst>
              <c:ext xmlns:c16="http://schemas.microsoft.com/office/drawing/2014/chart" uri="{C3380CC4-5D6E-409C-BE32-E72D297353CC}">
                <c16:uniqueId val="{00000005-C595-437F-A9A9-077DC533ABD7}"/>
              </c:ext>
            </c:extLst>
          </c:dPt>
          <c:dPt>
            <c:idx val="3"/>
            <c:bubble3D val="0"/>
            <c:spPr>
              <a:solidFill>
                <a:schemeClr val="accent2">
                  <a:lumMod val="20000"/>
                  <a:lumOff val="80000"/>
                </a:schemeClr>
              </a:solidFill>
              <a:ln w="19050">
                <a:noFill/>
              </a:ln>
              <a:effectLst/>
            </c:spPr>
            <c:extLst>
              <c:ext xmlns:c16="http://schemas.microsoft.com/office/drawing/2014/chart" uri="{C3380CC4-5D6E-409C-BE32-E72D297353CC}">
                <c16:uniqueId val="{00000007-C595-437F-A9A9-077DC533ABD7}"/>
              </c:ext>
            </c:extLst>
          </c:dPt>
          <c:dLbls>
            <c:dLbl>
              <c:idx val="0"/>
              <c:layout>
                <c:manualLayout>
                  <c:x val="0.16691957511380881"/>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95-437F-A9A9-077DC533ABD7}"/>
                </c:ext>
              </c:extLst>
            </c:dLbl>
            <c:dLbl>
              <c:idx val="1"/>
              <c:layout>
                <c:manualLayout>
                  <c:x val="7.8907435508345974E-2"/>
                  <c:y val="0.13888888888888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595-437F-A9A9-077DC533ABD7}"/>
                </c:ext>
              </c:extLst>
            </c:dLbl>
            <c:dLbl>
              <c:idx val="2"/>
              <c:layout>
                <c:manualLayout>
                  <c:x val="-0.15174506828528073"/>
                  <c:y val="0.1064814814814814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595-437F-A9A9-077DC533ABD7}"/>
                </c:ext>
              </c:extLst>
            </c:dLbl>
            <c:dLbl>
              <c:idx val="3"/>
              <c:layout>
                <c:manualLayout>
                  <c:x val="-0.13050075872534145"/>
                  <c:y val="-0.1342592592592592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595-437F-A9A9-077DC533ABD7}"/>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'Region By Sales'!$A$4:$A$8</c:f>
              <c:strCache>
                <c:ptCount val="4"/>
                <c:pt idx="0">
                  <c:v>West</c:v>
                </c:pt>
                <c:pt idx="1">
                  <c:v>East</c:v>
                </c:pt>
                <c:pt idx="2">
                  <c:v>Central</c:v>
                </c:pt>
                <c:pt idx="3">
                  <c:v>South</c:v>
                </c:pt>
              </c:strCache>
            </c:strRef>
          </c:cat>
          <c:val>
            <c:numRef>
              <c:f>'Region By Sales'!$B$4:$B$8</c:f>
              <c:numCache>
                <c:formatCode>General</c:formatCode>
                <c:ptCount val="4"/>
                <c:pt idx="0">
                  <c:v>725457.82450000057</c:v>
                </c:pt>
                <c:pt idx="1">
                  <c:v>678781.2399999979</c:v>
                </c:pt>
                <c:pt idx="2">
                  <c:v>501239.89080000052</c:v>
                </c:pt>
                <c:pt idx="3">
                  <c:v>391721.90500000032</c:v>
                </c:pt>
              </c:numCache>
            </c:numRef>
          </c:val>
          <c:extLst>
            <c:ext xmlns:c16="http://schemas.microsoft.com/office/drawing/2014/chart" uri="{C3380CC4-5D6E-409C-BE32-E72D297353CC}">
              <c16:uniqueId val="{00000008-C595-437F-A9A9-077DC533ABD7}"/>
            </c:ext>
          </c:extLst>
        </c:ser>
        <c:dLbls>
          <c:showLegendKey val="0"/>
          <c:showVal val="0"/>
          <c:showCatName val="0"/>
          <c:showSerName val="0"/>
          <c:showPercent val="0"/>
          <c:showBubbleSize val="0"/>
          <c:showLeaderLines val="1"/>
        </c:dLbls>
        <c:firstSliceAng val="0"/>
        <c:holeSize val="47"/>
      </c:doughnutChart>
      <c:spPr>
        <a:noFill/>
        <a:ln>
          <a:noFill/>
        </a:ln>
        <a:effectLst/>
      </c:spPr>
    </c:plotArea>
    <c:legend>
      <c:legendPos val="r"/>
      <c:layout>
        <c:manualLayout>
          <c:xMode val="edge"/>
          <c:yMode val="edge"/>
          <c:x val="0.86520363079615037"/>
          <c:y val="0.61710520559930004"/>
          <c:w val="0.12906431840177793"/>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15B.xlsx]Subcategory By Quantity!PivotTable6</c:name>
    <c:fmtId val="-1"/>
  </c:pivotSource>
  <c:chart>
    <c:title>
      <c:tx>
        <c:rich>
          <a:bodyPr rot="0" spcFirstLastPara="1" vertOverflow="ellipsis" vert="horz" wrap="square" anchor="ctr" anchorCtr="1"/>
          <a:lstStyle/>
          <a:p>
            <a:pPr>
              <a:defRPr sz="1200" b="1" i="0" u="none" strike="noStrike" kern="1200" spc="0" baseline="0">
                <a:solidFill>
                  <a:schemeClr val="accent2">
                    <a:lumMod val="50000"/>
                  </a:schemeClr>
                </a:solidFill>
                <a:latin typeface="+mn-lt"/>
                <a:ea typeface="+mn-ea"/>
                <a:cs typeface="+mn-cs"/>
              </a:defRPr>
            </a:pPr>
            <a:r>
              <a:rPr lang="en-US" sz="1200" b="1">
                <a:solidFill>
                  <a:schemeClr val="accent2">
                    <a:lumMod val="50000"/>
                  </a:schemeClr>
                </a:solidFill>
              </a:rPr>
              <a:t>Top Seven SubCategory By Quantity</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accent2">
                  <a:lumMod val="50000"/>
                </a:schemeClr>
              </a:solidFill>
              <a:latin typeface="+mn-lt"/>
              <a:ea typeface="+mn-ea"/>
              <a:cs typeface="+mn-cs"/>
            </a:defRPr>
          </a:pPr>
          <a:endParaRPr lang="en-US"/>
        </a:p>
      </c:txPr>
    </c:title>
    <c:autoTitleDeleted val="0"/>
    <c:pivotFmts>
      <c:pivotFmt>
        <c:idx val="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75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75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40000"/>
              <a:lumOff val="6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lumMod val="75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40000"/>
              <a:lumOff val="60000"/>
            </a:schemeClr>
          </a:solidFill>
          <a:ln>
            <a:noFill/>
          </a:ln>
          <a:effectLst/>
        </c:spPr>
      </c:pivotFmt>
      <c:pivotFmt>
        <c:idx val="20"/>
        <c:spPr>
          <a:solidFill>
            <a:schemeClr val="accent2">
              <a:lumMod val="20000"/>
              <a:lumOff val="80000"/>
            </a:schemeClr>
          </a:solidFill>
          <a:ln>
            <a:noFill/>
          </a:ln>
          <a:effectLst/>
        </c:spPr>
      </c:pivotFmt>
    </c:pivotFmts>
    <c:plotArea>
      <c:layout>
        <c:manualLayout>
          <c:layoutTarget val="inner"/>
          <c:xMode val="edge"/>
          <c:yMode val="edge"/>
          <c:x val="0.12010936132983377"/>
          <c:y val="0.1233796296296296"/>
          <c:w val="0.87155730533683284"/>
          <c:h val="0.85810185185185184"/>
        </c:manualLayout>
      </c:layout>
      <c:barChart>
        <c:barDir val="bar"/>
        <c:grouping val="clustered"/>
        <c:varyColors val="0"/>
        <c:ser>
          <c:idx val="0"/>
          <c:order val="0"/>
          <c:tx>
            <c:strRef>
              <c:f>'Subcategory By Quantity'!$B$3</c:f>
              <c:strCache>
                <c:ptCount val="1"/>
                <c:pt idx="0">
                  <c:v>Total</c:v>
                </c:pt>
              </c:strCache>
            </c:strRef>
          </c:tx>
          <c:spPr>
            <a:solidFill>
              <a:schemeClr val="accent2">
                <a:lumMod val="50000"/>
              </a:schemeClr>
            </a:solidFill>
            <a:ln>
              <a:noFill/>
            </a:ln>
            <a:effectLst/>
          </c:spPr>
          <c:invertIfNegative val="0"/>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1-6D0D-4814-8171-ECD4F87EDEE2}"/>
              </c:ext>
            </c:extLst>
          </c:dPt>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3-6D0D-4814-8171-ECD4F87EDEE2}"/>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6D0D-4814-8171-ECD4F87EDEE2}"/>
              </c:ext>
            </c:extLst>
          </c:dPt>
          <c:dPt>
            <c:idx val="4"/>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7-6D0D-4814-8171-ECD4F87EDEE2}"/>
              </c:ext>
            </c:extLst>
          </c:dPt>
          <c:dPt>
            <c:idx val="5"/>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9-6D0D-4814-8171-ECD4F87EDEE2}"/>
              </c:ext>
            </c:extLst>
          </c:dPt>
          <c:dPt>
            <c:idx val="6"/>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B-6D0D-4814-8171-ECD4F87EDEE2}"/>
              </c:ext>
            </c:extLst>
          </c:dPt>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'Subcategory By Quantity'!$A$4:$A$11</c:f>
              <c:strCache>
                <c:ptCount val="7"/>
                <c:pt idx="0">
                  <c:v>Binders</c:v>
                </c:pt>
                <c:pt idx="1">
                  <c:v>Paper</c:v>
                </c:pt>
                <c:pt idx="2">
                  <c:v>Furnishings</c:v>
                </c:pt>
                <c:pt idx="3">
                  <c:v>Phones</c:v>
                </c:pt>
                <c:pt idx="4">
                  <c:v>Storage</c:v>
                </c:pt>
                <c:pt idx="5">
                  <c:v>Art</c:v>
                </c:pt>
                <c:pt idx="6">
                  <c:v>Accessories</c:v>
                </c:pt>
              </c:strCache>
            </c:strRef>
          </c:cat>
          <c:val>
            <c:numRef>
              <c:f>'Subcategory By Quantity'!$B$4:$B$11</c:f>
              <c:numCache>
                <c:formatCode>General</c:formatCode>
                <c:ptCount val="7"/>
                <c:pt idx="0">
                  <c:v>5974</c:v>
                </c:pt>
                <c:pt idx="1">
                  <c:v>5178</c:v>
                </c:pt>
                <c:pt idx="2">
                  <c:v>3563</c:v>
                </c:pt>
                <c:pt idx="3">
                  <c:v>3289</c:v>
                </c:pt>
                <c:pt idx="4">
                  <c:v>3158</c:v>
                </c:pt>
                <c:pt idx="5">
                  <c:v>3000</c:v>
                </c:pt>
                <c:pt idx="6">
                  <c:v>2976</c:v>
                </c:pt>
              </c:numCache>
            </c:numRef>
          </c:val>
          <c:extLst>
            <c:ext xmlns:c16="http://schemas.microsoft.com/office/drawing/2014/chart" uri="{C3380CC4-5D6E-409C-BE32-E72D297353CC}">
              <c16:uniqueId val="{0000000C-6D0D-4814-8171-ECD4F87EDEE2}"/>
            </c:ext>
          </c:extLst>
        </c:ser>
        <c:dLbls>
          <c:dLblPos val="outEnd"/>
          <c:showLegendKey val="0"/>
          <c:showVal val="1"/>
          <c:showCatName val="0"/>
          <c:showSerName val="0"/>
          <c:showPercent val="0"/>
          <c:showBubbleSize val="0"/>
        </c:dLbls>
        <c:gapWidth val="30"/>
        <c:axId val="2041675311"/>
        <c:axId val="2041694511"/>
      </c:barChart>
      <c:catAx>
        <c:axId val="204167531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mn-ea"/>
                <a:cs typeface="+mn-cs"/>
              </a:defRPr>
            </a:pPr>
            <a:endParaRPr lang="en-US"/>
          </a:p>
        </c:txPr>
        <c:crossAx val="2041694511"/>
        <c:crosses val="autoZero"/>
        <c:auto val="1"/>
        <c:lblAlgn val="ctr"/>
        <c:lblOffset val="100"/>
        <c:noMultiLvlLbl val="0"/>
      </c:catAx>
      <c:valAx>
        <c:axId val="2041694511"/>
        <c:scaling>
          <c:orientation val="minMax"/>
        </c:scaling>
        <c:delete val="1"/>
        <c:axPos val="t"/>
        <c:numFmt formatCode="General" sourceLinked="1"/>
        <c:majorTickMark val="none"/>
        <c:minorTickMark val="none"/>
        <c:tickLblPos val="nextTo"/>
        <c:crossAx val="2041675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15B.xlsx]Subcategory By Sales!PivotTable1</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a:solidFill>
                  <a:schemeClr val="accent2">
                    <a:lumMod val="50000"/>
                  </a:schemeClr>
                </a:solidFill>
              </a:rPr>
              <a:t>Top</a:t>
            </a:r>
            <a:r>
              <a:rPr lang="en-US" sz="1200" b="1" baseline="0">
                <a:solidFill>
                  <a:schemeClr val="accent2">
                    <a:lumMod val="50000"/>
                  </a:schemeClr>
                </a:solidFill>
              </a:rPr>
              <a:t> Five Subcategory By Sales</a:t>
            </a:r>
            <a:endParaRPr lang="en-US" sz="1200" b="1">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75000"/>
            </a:schemeClr>
          </a:solidFill>
          <a:ln>
            <a:noFill/>
          </a:ln>
          <a:effectLst/>
        </c:spPr>
      </c:pivotFmt>
      <c:pivotFmt>
        <c:idx val="2"/>
        <c:spPr>
          <a:solidFill>
            <a:schemeClr val="accent2">
              <a:lumMod val="60000"/>
              <a:lumOff val="40000"/>
            </a:schemeClr>
          </a:solidFill>
          <a:ln>
            <a:noFill/>
          </a:ln>
          <a:effectLst/>
        </c:spPr>
      </c:pivotFmt>
      <c:pivotFmt>
        <c:idx val="3"/>
        <c:spPr>
          <a:solidFill>
            <a:schemeClr val="accent2">
              <a:lumMod val="40000"/>
              <a:lumOff val="60000"/>
            </a:schemeClr>
          </a:solidFill>
          <a:ln>
            <a:noFill/>
          </a:ln>
          <a:effectLst/>
        </c:spPr>
      </c:pivotFmt>
      <c:pivotFmt>
        <c:idx val="4"/>
        <c:spPr>
          <a:solidFill>
            <a:schemeClr val="accent2">
              <a:lumMod val="20000"/>
              <a:lumOff val="80000"/>
            </a:schemeClr>
          </a:solidFill>
          <a:ln>
            <a:noFill/>
          </a:ln>
          <a:effectLst/>
        </c:spPr>
      </c:pivotFmt>
      <c:pivotFmt>
        <c:idx val="5"/>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lumMod val="75000"/>
            </a:schemeClr>
          </a:solidFill>
          <a:ln>
            <a:noFill/>
          </a:ln>
          <a:effectLst/>
        </c:spPr>
      </c:pivotFmt>
      <c:pivotFmt>
        <c:idx val="7"/>
        <c:spPr>
          <a:solidFill>
            <a:schemeClr val="accent2">
              <a:lumMod val="60000"/>
              <a:lumOff val="40000"/>
            </a:schemeClr>
          </a:solidFill>
          <a:ln>
            <a:noFill/>
          </a:ln>
          <a:effectLst/>
        </c:spPr>
      </c:pivotFmt>
      <c:pivotFmt>
        <c:idx val="8"/>
        <c:spPr>
          <a:solidFill>
            <a:schemeClr val="accent2">
              <a:lumMod val="40000"/>
              <a:lumOff val="60000"/>
            </a:schemeClr>
          </a:solidFill>
          <a:ln>
            <a:noFill/>
          </a:ln>
          <a:effectLst/>
        </c:spPr>
      </c:pivotFmt>
      <c:pivotFmt>
        <c:idx val="9"/>
        <c:spPr>
          <a:solidFill>
            <a:schemeClr val="accent2">
              <a:lumMod val="20000"/>
              <a:lumOff val="80000"/>
            </a:schemeClr>
          </a:solidFill>
          <a:ln>
            <a:noFill/>
          </a:ln>
          <a:effectLst/>
        </c:spPr>
      </c:pivotFmt>
      <c:pivotFmt>
        <c:idx val="1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75000"/>
            </a:schemeClr>
          </a:solidFill>
          <a:ln>
            <a:noFill/>
          </a:ln>
          <a:effectLst/>
        </c:spPr>
      </c:pivotFmt>
      <c:pivotFmt>
        <c:idx val="12"/>
        <c:spPr>
          <a:solidFill>
            <a:schemeClr val="accent2">
              <a:lumMod val="60000"/>
              <a:lumOff val="40000"/>
            </a:schemeClr>
          </a:solidFill>
          <a:ln>
            <a:noFill/>
          </a:ln>
          <a:effectLst/>
        </c:spPr>
      </c:pivotFmt>
      <c:pivotFmt>
        <c:idx val="13"/>
        <c:spPr>
          <a:solidFill>
            <a:schemeClr val="accent2">
              <a:lumMod val="40000"/>
              <a:lumOff val="60000"/>
            </a:schemeClr>
          </a:solidFill>
          <a:ln>
            <a:noFill/>
          </a:ln>
          <a:effectLst/>
        </c:spPr>
      </c:pivotFmt>
      <c:pivotFmt>
        <c:idx val="14"/>
        <c:spPr>
          <a:solidFill>
            <a:schemeClr val="accent2">
              <a:lumMod val="20000"/>
              <a:lumOff val="80000"/>
            </a:schemeClr>
          </a:solidFill>
          <a:ln>
            <a:noFill/>
          </a:ln>
          <a:effectLst/>
        </c:spPr>
      </c:pivotFmt>
    </c:pivotFmts>
    <c:plotArea>
      <c:layout>
        <c:manualLayout>
          <c:layoutTarget val="inner"/>
          <c:xMode val="edge"/>
          <c:yMode val="edge"/>
          <c:x val="9.7762029746281717E-2"/>
          <c:y val="0.13467592592592595"/>
          <c:w val="0.84498337283082336"/>
          <c:h val="0.81439814814814815"/>
        </c:manualLayout>
      </c:layout>
      <c:barChart>
        <c:barDir val="bar"/>
        <c:grouping val="clustered"/>
        <c:varyColors val="0"/>
        <c:ser>
          <c:idx val="0"/>
          <c:order val="0"/>
          <c:tx>
            <c:strRef>
              <c:f>'Subcategory By Sales'!$B$3</c:f>
              <c:strCache>
                <c:ptCount val="1"/>
                <c:pt idx="0">
                  <c:v>Total</c:v>
                </c:pt>
              </c:strCache>
            </c:strRef>
          </c:tx>
          <c:spPr>
            <a:solidFill>
              <a:schemeClr val="accent2">
                <a:lumMod val="50000"/>
              </a:schemeClr>
            </a:solidFill>
            <a:ln>
              <a:noFill/>
            </a:ln>
            <a:effectLst/>
          </c:spPr>
          <c:invertIfNegative val="0"/>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1-3D79-485C-9D9B-83CCEBB97BB1}"/>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3-3D79-485C-9D9B-83CCEBB97BB1}"/>
              </c:ext>
            </c:extLst>
          </c:dPt>
          <c:dPt>
            <c:idx val="3"/>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5-3D79-485C-9D9B-83CCEBB97BB1}"/>
              </c:ext>
            </c:extLst>
          </c:dPt>
          <c:dPt>
            <c:idx val="4"/>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7-3D79-485C-9D9B-83CCEBB97BB1}"/>
              </c:ext>
            </c:extLst>
          </c:dPt>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'Subcategory By Sales'!$A$4:$A$9</c:f>
              <c:strCache>
                <c:ptCount val="5"/>
                <c:pt idx="0">
                  <c:v>Phones</c:v>
                </c:pt>
                <c:pt idx="1">
                  <c:v>Chairs</c:v>
                </c:pt>
                <c:pt idx="2">
                  <c:v>Storage</c:v>
                </c:pt>
                <c:pt idx="3">
                  <c:v>Tables</c:v>
                </c:pt>
                <c:pt idx="4">
                  <c:v>Binders</c:v>
                </c:pt>
              </c:strCache>
            </c:strRef>
          </c:cat>
          <c:val>
            <c:numRef>
              <c:f>'Subcategory By Sales'!$B$4:$B$9</c:f>
              <c:numCache>
                <c:formatCode>General</c:formatCode>
                <c:ptCount val="5"/>
                <c:pt idx="0">
                  <c:v>330007.05400000012</c:v>
                </c:pt>
                <c:pt idx="1">
                  <c:v>328449.10300000076</c:v>
                </c:pt>
                <c:pt idx="2">
                  <c:v>223843.60800000012</c:v>
                </c:pt>
                <c:pt idx="3">
                  <c:v>206965.53200000009</c:v>
                </c:pt>
                <c:pt idx="4">
                  <c:v>203412.73300000009</c:v>
                </c:pt>
              </c:numCache>
            </c:numRef>
          </c:val>
          <c:extLst>
            <c:ext xmlns:c16="http://schemas.microsoft.com/office/drawing/2014/chart" uri="{C3380CC4-5D6E-409C-BE32-E72D297353CC}">
              <c16:uniqueId val="{00000008-3D79-485C-9D9B-83CCEBB97BB1}"/>
            </c:ext>
          </c:extLst>
        </c:ser>
        <c:dLbls>
          <c:dLblPos val="outEnd"/>
          <c:showLegendKey val="0"/>
          <c:showVal val="1"/>
          <c:showCatName val="0"/>
          <c:showSerName val="0"/>
          <c:showPercent val="0"/>
          <c:showBubbleSize val="0"/>
        </c:dLbls>
        <c:gapWidth val="30"/>
        <c:axId val="2041696911"/>
        <c:axId val="2041691631"/>
      </c:barChart>
      <c:catAx>
        <c:axId val="204169691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mn-ea"/>
                <a:cs typeface="+mn-cs"/>
              </a:defRPr>
            </a:pPr>
            <a:endParaRPr lang="en-US"/>
          </a:p>
        </c:txPr>
        <c:crossAx val="2041691631"/>
        <c:crosses val="autoZero"/>
        <c:auto val="1"/>
        <c:lblAlgn val="ctr"/>
        <c:lblOffset val="100"/>
        <c:noMultiLvlLbl val="0"/>
      </c:catAx>
      <c:valAx>
        <c:axId val="2041691631"/>
        <c:scaling>
          <c:orientation val="minMax"/>
        </c:scaling>
        <c:delete val="1"/>
        <c:axPos val="t"/>
        <c:numFmt formatCode="General" sourceLinked="1"/>
        <c:majorTickMark val="none"/>
        <c:minorTickMark val="none"/>
        <c:tickLblPos val="nextTo"/>
        <c:crossAx val="2041696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15B.xlsx]City By Sales!PivotTable5</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a:solidFill>
                  <a:schemeClr val="accent2">
                    <a:lumMod val="50000"/>
                  </a:schemeClr>
                </a:solidFill>
              </a:rPr>
              <a:t>City By</a:t>
            </a:r>
            <a:r>
              <a:rPr lang="en-US" sz="1200" b="1" baseline="0">
                <a:solidFill>
                  <a:schemeClr val="accent2">
                    <a:lumMod val="50000"/>
                  </a:schemeClr>
                </a:solidFill>
              </a:rPr>
              <a:t> Sales</a:t>
            </a:r>
            <a:endParaRPr lang="en-US" sz="1200" b="1">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40000"/>
              <a:lumOff val="60000"/>
            </a:schemeClr>
          </a:solidFill>
          <a:ln>
            <a:noFill/>
          </a:ln>
          <a:effectLst/>
        </c:spPr>
      </c:pivotFmt>
      <c:pivotFmt>
        <c:idx val="20"/>
        <c:spPr>
          <a:solidFill>
            <a:schemeClr val="accent2">
              <a:lumMod val="20000"/>
              <a:lumOff val="80000"/>
            </a:schemeClr>
          </a:solidFill>
          <a:ln>
            <a:noFill/>
          </a:ln>
          <a:effectLst/>
        </c:spPr>
      </c:pivotFmt>
    </c:pivotFmts>
    <c:plotArea>
      <c:layout/>
      <c:barChart>
        <c:barDir val="col"/>
        <c:grouping val="clustered"/>
        <c:varyColors val="0"/>
        <c:ser>
          <c:idx val="0"/>
          <c:order val="0"/>
          <c:tx>
            <c:strRef>
              <c:f>'City By Sales'!$B$3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7ACA-44E2-8999-A3D10EC4C922}"/>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7ACA-44E2-8999-A3D10EC4C922}"/>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7ACA-44E2-8999-A3D10EC4C922}"/>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7-7ACA-44E2-8999-A3D10EC4C922}"/>
              </c:ext>
            </c:extLst>
          </c:dPt>
          <c:dPt>
            <c:idx val="4"/>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9-7ACA-44E2-8999-A3D10EC4C922}"/>
              </c:ext>
            </c:extLst>
          </c:dPt>
          <c:dPt>
            <c:idx val="5"/>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B-7ACA-44E2-8999-A3D10EC4C922}"/>
              </c:ext>
            </c:extLst>
          </c:dPt>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accent2">
                        <a:lumMod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By Sales'!$A$4:$A$10</c:f>
              <c:strCache>
                <c:ptCount val="6"/>
                <c:pt idx="0">
                  <c:v>New York City</c:v>
                </c:pt>
                <c:pt idx="1">
                  <c:v>Los Angeles</c:v>
                </c:pt>
                <c:pt idx="2">
                  <c:v>Seattle</c:v>
                </c:pt>
                <c:pt idx="3">
                  <c:v>San Francisco</c:v>
                </c:pt>
                <c:pt idx="4">
                  <c:v>Philadelphia</c:v>
                </c:pt>
                <c:pt idx="5">
                  <c:v>Houston</c:v>
                </c:pt>
              </c:strCache>
            </c:strRef>
          </c:cat>
          <c:val>
            <c:numRef>
              <c:f>'City By Sales'!$B$4:$B$10</c:f>
              <c:numCache>
                <c:formatCode>General</c:formatCode>
                <c:ptCount val="6"/>
                <c:pt idx="0">
                  <c:v>256368.16099999999</c:v>
                </c:pt>
                <c:pt idx="1">
                  <c:v>175851.34099999999</c:v>
                </c:pt>
                <c:pt idx="2">
                  <c:v>119540.742</c:v>
                </c:pt>
                <c:pt idx="3">
                  <c:v>112669.09199999992</c:v>
                </c:pt>
                <c:pt idx="4">
                  <c:v>109077.01300000008</c:v>
                </c:pt>
                <c:pt idx="5">
                  <c:v>64504.760399999941</c:v>
                </c:pt>
              </c:numCache>
            </c:numRef>
          </c:val>
          <c:extLst>
            <c:ext xmlns:c16="http://schemas.microsoft.com/office/drawing/2014/chart" uri="{C3380CC4-5D6E-409C-BE32-E72D297353CC}">
              <c16:uniqueId val="{0000000C-7ACA-44E2-8999-A3D10EC4C922}"/>
            </c:ext>
          </c:extLst>
        </c:ser>
        <c:dLbls>
          <c:dLblPos val="outEnd"/>
          <c:showLegendKey val="0"/>
          <c:showVal val="1"/>
          <c:showCatName val="0"/>
          <c:showSerName val="0"/>
          <c:showPercent val="0"/>
          <c:showBubbleSize val="0"/>
        </c:dLbls>
        <c:gapWidth val="30"/>
        <c:axId val="2041699311"/>
        <c:axId val="2041687791"/>
      </c:barChart>
      <c:catAx>
        <c:axId val="204169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87791"/>
        <c:crosses val="autoZero"/>
        <c:auto val="1"/>
        <c:lblAlgn val="ctr"/>
        <c:lblOffset val="100"/>
        <c:noMultiLvlLbl val="0"/>
      </c:catAx>
      <c:valAx>
        <c:axId val="2041687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mn-ea"/>
                <a:cs typeface="+mn-cs"/>
              </a:defRPr>
            </a:pPr>
            <a:endParaRPr lang="en-US"/>
          </a:p>
        </c:txPr>
        <c:crossAx val="2041699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2</cp:revision>
  <dcterms:created xsi:type="dcterms:W3CDTF">2025-05-05T23:06:00Z</dcterms:created>
  <dcterms:modified xsi:type="dcterms:W3CDTF">2025-05-08T11:47:00Z</dcterms:modified>
</cp:coreProperties>
</file>