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AB" w:rsidRPr="00DF1BAB" w:rsidRDefault="00DF1BAB" w:rsidP="00DF1BAB">
      <w:pPr>
        <w:jc w:val="center"/>
        <w:rPr>
          <w:b/>
          <w:bCs/>
          <w:sz w:val="30"/>
          <w:szCs w:val="30"/>
        </w:rPr>
      </w:pPr>
      <w:r w:rsidRPr="00DF1BAB">
        <w:rPr>
          <w:b/>
          <w:bCs/>
          <w:sz w:val="30"/>
          <w:szCs w:val="30"/>
        </w:rPr>
        <w:fldChar w:fldCharType="begin"/>
      </w:r>
      <w:r w:rsidRPr="00DF1BAB">
        <w:rPr>
          <w:b/>
          <w:bCs/>
          <w:sz w:val="30"/>
          <w:szCs w:val="30"/>
        </w:rPr>
        <w:instrText xml:space="preserve"> HYPERLINK "http://wiki.primeton.com/pages/viewpage.action?pageId=18219574" </w:instrText>
      </w:r>
      <w:r w:rsidRPr="00DF1BAB">
        <w:rPr>
          <w:b/>
          <w:bCs/>
          <w:sz w:val="30"/>
          <w:szCs w:val="30"/>
        </w:rPr>
        <w:fldChar w:fldCharType="separate"/>
      </w:r>
      <w:r w:rsidRPr="00DF1BAB">
        <w:rPr>
          <w:rStyle w:val="a3"/>
          <w:b/>
          <w:bCs/>
          <w:sz w:val="30"/>
          <w:szCs w:val="30"/>
        </w:rPr>
        <w:t>金融政策及信息化体系高级研修班笔记之一：中国的支付系统</w:t>
      </w:r>
      <w:r w:rsidRPr="00DF1BAB">
        <w:rPr>
          <w:sz w:val="30"/>
          <w:szCs w:val="30"/>
        </w:rPr>
        <w:fldChar w:fldCharType="end"/>
      </w:r>
    </w:p>
    <w:p w:rsidR="00DF1BAB" w:rsidRPr="00DF1BAB" w:rsidRDefault="00DF1BAB" w:rsidP="00DF1BAB">
      <w:r w:rsidRPr="00DF1BAB">
        <w:rPr>
          <w:i/>
          <w:iCs/>
        </w:rPr>
        <w:t>&lt;</w:t>
      </w:r>
      <w:r w:rsidRPr="00DF1BAB">
        <w:rPr>
          <w:i/>
          <w:iCs/>
        </w:rPr>
        <w:t>内部资料，请勿外传</w:t>
      </w:r>
      <w:r w:rsidRPr="00DF1BAB">
        <w:rPr>
          <w:i/>
          <w:iCs/>
        </w:rPr>
        <w:t>&gt;</w:t>
      </w:r>
    </w:p>
    <w:p w:rsidR="00DF1BAB" w:rsidRPr="00DF1BAB" w:rsidRDefault="00DF1BAB" w:rsidP="00DF1BAB">
      <w:r w:rsidRPr="00DF1BAB">
        <w:t>授课人：人民银行</w:t>
      </w:r>
      <w:r w:rsidRPr="00DF1BAB">
        <w:t xml:space="preserve"> </w:t>
      </w:r>
      <w:r w:rsidRPr="00DF1BAB">
        <w:t>李晓枫</w:t>
      </w:r>
    </w:p>
    <w:p w:rsidR="00DF1BAB" w:rsidRPr="00DF1BAB" w:rsidRDefault="00DF1BAB" w:rsidP="00DF1BAB">
      <w:r w:rsidRPr="00DF1BAB">
        <w:t>授课人介绍：现任中国金融电子化公司董事兼金融信息化研究所所长，中国人民银行金融</w:t>
      </w:r>
      <w:r w:rsidRPr="00DF1BAB">
        <w:t>IC</w:t>
      </w:r>
      <w:proofErr w:type="gramStart"/>
      <w:r w:rsidRPr="00DF1BAB">
        <w:t>卡推进</w:t>
      </w:r>
      <w:proofErr w:type="gramEnd"/>
      <w:r w:rsidRPr="00DF1BAB">
        <w:t>工作领导小组办公室主任，高级工程师（教授级），中国</w:t>
      </w:r>
      <w:r w:rsidRPr="00DF1BAB">
        <w:t xml:space="preserve"> </w:t>
      </w:r>
      <w:r w:rsidRPr="00DF1BAB">
        <w:t>金融标准化委员会委员。</w:t>
      </w:r>
      <w:r w:rsidRPr="00DF1BAB">
        <w:t>2003</w:t>
      </w:r>
      <w:r w:rsidRPr="00DF1BAB">
        <w:t>年</w:t>
      </w:r>
      <w:r w:rsidRPr="00DF1BAB">
        <w:t>10</w:t>
      </w:r>
      <w:r w:rsidRPr="00DF1BAB">
        <w:t>月任职人民银行科技司副司长，分管运行维护、网络与信息安全、支付清算、银行卡与电子支付等技术管理工作；</w:t>
      </w:r>
      <w:r w:rsidRPr="00DF1BAB">
        <w:t xml:space="preserve">2011 </w:t>
      </w:r>
      <w:r w:rsidRPr="00DF1BAB">
        <w:t>年</w:t>
      </w:r>
      <w:r w:rsidRPr="00DF1BAB">
        <w:t>11</w:t>
      </w:r>
      <w:r w:rsidRPr="00DF1BAB">
        <w:t>月任职金融信息中心主任兼人民银行金融</w:t>
      </w:r>
      <w:r w:rsidRPr="00DF1BAB">
        <w:t>IC</w:t>
      </w:r>
      <w:proofErr w:type="gramStart"/>
      <w:r w:rsidRPr="00DF1BAB">
        <w:t>卡推进</w:t>
      </w:r>
      <w:proofErr w:type="gramEnd"/>
      <w:r w:rsidRPr="00DF1BAB">
        <w:t>领导小组办公室主任；</w:t>
      </w:r>
      <w:r w:rsidRPr="00DF1BAB">
        <w:t>2013</w:t>
      </w:r>
      <w:r w:rsidRPr="00DF1BAB">
        <w:t>年</w:t>
      </w:r>
      <w:r w:rsidRPr="00DF1BAB">
        <w:t>5</w:t>
      </w:r>
      <w:r w:rsidRPr="00DF1BAB">
        <w:t>月任职中国金融电子化公司董事兼金融信息化研究所所长。曾负责主</w:t>
      </w:r>
      <w:r w:rsidRPr="00DF1BAB">
        <w:t xml:space="preserve"> </w:t>
      </w:r>
      <w:proofErr w:type="gramStart"/>
      <w:r w:rsidRPr="00DF1BAB">
        <w:t>持人民</w:t>
      </w:r>
      <w:proofErr w:type="gramEnd"/>
      <w:r w:rsidRPr="00DF1BAB">
        <w:t>银行数十项重要信息化项目建设工作，或银行业科技进步一等奖两次，二等奖八次，三等奖两次。负责主持编制《中国金融集成电路（</w:t>
      </w:r>
      <w:r w:rsidRPr="00DF1BAB">
        <w:t>IC</w:t>
      </w:r>
      <w:r w:rsidRPr="00DF1BAB">
        <w:t>）卡标准》</w:t>
      </w:r>
      <w:r w:rsidRPr="00DF1BAB">
        <w:t xml:space="preserve"> </w:t>
      </w:r>
      <w:r w:rsidRPr="00DF1BAB">
        <w:t>（</w:t>
      </w:r>
      <w:r w:rsidRPr="00DF1BAB">
        <w:t>PBOC2.0</w:t>
      </w:r>
      <w:r w:rsidRPr="00DF1BAB">
        <w:t>与</w:t>
      </w:r>
      <w:r w:rsidRPr="00DF1BAB">
        <w:t>PBOC3.0</w:t>
      </w:r>
      <w:r w:rsidRPr="00DF1BAB">
        <w:t>），《中国金融移动支付技术标准》（</w:t>
      </w:r>
      <w:r w:rsidRPr="00DF1BAB">
        <w:t>2012</w:t>
      </w:r>
      <w:r w:rsidRPr="00DF1BAB">
        <w:t>版）。先后发表数十篇论文与论著。</w:t>
      </w:r>
    </w:p>
    <w:p w:rsidR="00DF1BAB" w:rsidRPr="00DF1BAB" w:rsidRDefault="00DF1BAB" w:rsidP="00DF1BAB">
      <w:r w:rsidRPr="00DF1BAB">
        <w:t>一、支付体系的基本概念</w:t>
      </w:r>
    </w:p>
    <w:p w:rsidR="00DF1BAB" w:rsidRPr="00DF1BAB" w:rsidRDefault="00DF1BAB" w:rsidP="00DF1BAB">
      <w:r w:rsidRPr="00DF1BAB">
        <w:t>现代支付体系主要由支付服务组织、支付工具、支付系统和支付体系监督管理等要素组成。</w:t>
      </w:r>
    </w:p>
    <w:p w:rsidR="00DF1BAB" w:rsidRPr="00DF1BAB" w:rsidRDefault="00DF1BAB" w:rsidP="00DF1BAB">
      <w:r w:rsidRPr="00DF1BAB">
        <w:t>加强支付体系的建设有助于：</w:t>
      </w:r>
    </w:p>
    <w:p w:rsidR="00DF1BAB" w:rsidRPr="00DF1BAB" w:rsidRDefault="00DF1BAB" w:rsidP="00DF1BAB">
      <w:pPr>
        <w:numPr>
          <w:ilvl w:val="0"/>
          <w:numId w:val="12"/>
        </w:numPr>
      </w:pPr>
      <w:r w:rsidRPr="00DF1BAB">
        <w:t>加速社会资金周转，提高社会资金的使用率</w:t>
      </w:r>
    </w:p>
    <w:p w:rsidR="00DF1BAB" w:rsidRPr="00DF1BAB" w:rsidRDefault="00DF1BAB" w:rsidP="00DF1BAB">
      <w:pPr>
        <w:numPr>
          <w:ilvl w:val="0"/>
          <w:numId w:val="12"/>
        </w:numPr>
      </w:pPr>
      <w:r w:rsidRPr="00DF1BAB">
        <w:t>畅通货币政策传导</w:t>
      </w:r>
    </w:p>
    <w:p w:rsidR="00DF1BAB" w:rsidRPr="00DF1BAB" w:rsidRDefault="00DF1BAB" w:rsidP="00DF1BAB">
      <w:pPr>
        <w:numPr>
          <w:ilvl w:val="0"/>
          <w:numId w:val="12"/>
        </w:numPr>
      </w:pPr>
      <w:r w:rsidRPr="00DF1BAB">
        <w:t>密切金融市场联系，如票据市场、金融市场与支付系统连接、支持资金清算</w:t>
      </w:r>
    </w:p>
    <w:p w:rsidR="00DF1BAB" w:rsidRPr="00DF1BAB" w:rsidRDefault="00DF1BAB" w:rsidP="00DF1BAB">
      <w:pPr>
        <w:numPr>
          <w:ilvl w:val="0"/>
          <w:numId w:val="12"/>
        </w:numPr>
      </w:pPr>
      <w:r w:rsidRPr="00DF1BAB">
        <w:t>促进金融稳定，防范支付风险</w:t>
      </w:r>
    </w:p>
    <w:p w:rsidR="00DF1BAB" w:rsidRPr="00DF1BAB" w:rsidRDefault="00DF1BAB" w:rsidP="00DF1BAB">
      <w:r w:rsidRPr="00DF1BAB">
        <w:t>二、我国支付体系的组成</w:t>
      </w:r>
    </w:p>
    <w:p w:rsidR="00DF1BAB" w:rsidRPr="00DF1BAB" w:rsidRDefault="00DF1BAB" w:rsidP="00DF1BAB">
      <w:pPr>
        <w:numPr>
          <w:ilvl w:val="0"/>
          <w:numId w:val="13"/>
        </w:numPr>
      </w:pPr>
      <w:r w:rsidRPr="00DF1BAB">
        <w:t>支付服务组织：人民银行、商业银行、支付清算组织（票据交换所、银联、支付宝等）</w:t>
      </w:r>
    </w:p>
    <w:p w:rsidR="00DF1BAB" w:rsidRPr="00DF1BAB" w:rsidRDefault="00DF1BAB" w:rsidP="00DF1BAB">
      <w:pPr>
        <w:numPr>
          <w:ilvl w:val="0"/>
          <w:numId w:val="13"/>
        </w:numPr>
      </w:pPr>
      <w:r w:rsidRPr="00DF1BAB">
        <w:t>支付工具：现金支付、非现金支付（票据、银行卡和电子支付工具，如网上支付、移动支付等）</w:t>
      </w:r>
    </w:p>
    <w:p w:rsidR="00DF1BAB" w:rsidRPr="00DF1BAB" w:rsidRDefault="00DF1BAB" w:rsidP="00DF1BAB">
      <w:pPr>
        <w:numPr>
          <w:ilvl w:val="0"/>
          <w:numId w:val="13"/>
        </w:numPr>
      </w:pPr>
      <w:r w:rsidRPr="00DF1BAB">
        <w:t>支付系统：央行支付系统、商业银行行内系统、票据支付系统、银行卡支付系统</w:t>
      </w:r>
    </w:p>
    <w:p w:rsidR="00DF1BAB" w:rsidRPr="00DF1BAB" w:rsidRDefault="00DF1BAB" w:rsidP="00DF1BAB">
      <w:pPr>
        <w:numPr>
          <w:ilvl w:val="0"/>
          <w:numId w:val="13"/>
        </w:numPr>
      </w:pPr>
      <w:r w:rsidRPr="00DF1BAB">
        <w:t>支付体系监管：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3"/>
        </w:numPr>
      </w:pPr>
      <w:r w:rsidRPr="00DF1BAB">
        <w:t>监管目标：安全和效率</w:t>
      </w:r>
    </w:p>
    <w:p w:rsidR="00DF1BAB" w:rsidRPr="00DF1BAB" w:rsidRDefault="00DF1BAB" w:rsidP="00DF1BAB">
      <w:pPr>
        <w:numPr>
          <w:ilvl w:val="1"/>
          <w:numId w:val="13"/>
        </w:numPr>
      </w:pPr>
      <w:r w:rsidRPr="00DF1BAB">
        <w:t>监管标准：法律、法规、规章，《中国人民银行发》、《商业银行法》、《非金融机构支付服务管理办法》、《票据法》、《电子签名法》等</w:t>
      </w:r>
    </w:p>
    <w:p w:rsidR="00DF1BAB" w:rsidRPr="00DF1BAB" w:rsidRDefault="00DF1BAB" w:rsidP="00DF1BAB">
      <w:r w:rsidRPr="00DF1BAB">
        <w:t>三、运行基础设施</w:t>
      </w:r>
    </w:p>
    <w:p w:rsidR="00DF1BAB" w:rsidRPr="00DF1BAB" w:rsidRDefault="00DF1BAB" w:rsidP="00DF1BAB">
      <w:pPr>
        <w:numPr>
          <w:ilvl w:val="0"/>
          <w:numId w:val="14"/>
        </w:numPr>
      </w:pPr>
      <w:r w:rsidRPr="00DF1BAB">
        <w:t>国家处理中心</w:t>
      </w:r>
    </w:p>
    <w:p w:rsidR="00DF1BAB" w:rsidRPr="00DF1BAB" w:rsidRDefault="00DF1BAB" w:rsidP="00DF1BAB">
      <w:pPr>
        <w:numPr>
          <w:ilvl w:val="0"/>
          <w:numId w:val="14"/>
        </w:numPr>
      </w:pPr>
      <w:r w:rsidRPr="00DF1BAB">
        <w:t>北京主站为生产中心</w:t>
      </w:r>
    </w:p>
    <w:p w:rsidR="00DF1BAB" w:rsidRPr="00DF1BAB" w:rsidRDefault="00DF1BAB" w:rsidP="00DF1BAB">
      <w:pPr>
        <w:numPr>
          <w:ilvl w:val="0"/>
          <w:numId w:val="14"/>
        </w:numPr>
      </w:pPr>
      <w:r w:rsidRPr="00DF1BAB">
        <w:t>无锡主站为备份中心</w:t>
      </w:r>
    </w:p>
    <w:p w:rsidR="00DF1BAB" w:rsidRPr="00DF1BAB" w:rsidRDefault="00DF1BAB" w:rsidP="00DF1BAB">
      <w:pPr>
        <w:numPr>
          <w:ilvl w:val="0"/>
          <w:numId w:val="14"/>
        </w:numPr>
      </w:pPr>
      <w:r w:rsidRPr="00DF1BAB">
        <w:t>上海中心（二代支付的生产中心）</w:t>
      </w:r>
    </w:p>
    <w:p w:rsidR="00DF1BAB" w:rsidRPr="00DF1BAB" w:rsidRDefault="00DF1BAB" w:rsidP="00DF1BAB">
      <w:pPr>
        <w:numPr>
          <w:ilvl w:val="0"/>
          <w:numId w:val="14"/>
        </w:numPr>
      </w:pPr>
      <w:r w:rsidRPr="00DF1BAB">
        <w:t>北京中心（尚在建设中）</w:t>
      </w:r>
    </w:p>
    <w:p w:rsidR="00DF1BAB" w:rsidRPr="00DF1BAB" w:rsidRDefault="00DF1BAB" w:rsidP="00DF1BAB">
      <w:pPr>
        <w:numPr>
          <w:ilvl w:val="0"/>
          <w:numId w:val="14"/>
        </w:numPr>
      </w:pPr>
      <w:r w:rsidRPr="00DF1BAB">
        <w:t>32</w:t>
      </w:r>
      <w:r w:rsidRPr="00DF1BAB">
        <w:t>个城市处理中心</w:t>
      </w:r>
    </w:p>
    <w:p w:rsidR="00DF1BAB" w:rsidRPr="00DF1BAB" w:rsidRDefault="00DF1BAB" w:rsidP="00DF1BAB">
      <w:pPr>
        <w:numPr>
          <w:ilvl w:val="0"/>
          <w:numId w:val="14"/>
        </w:numPr>
      </w:pPr>
      <w:r w:rsidRPr="00DF1BAB">
        <w:t>省一级小规模机房</w:t>
      </w:r>
    </w:p>
    <w:p w:rsidR="00DF1BAB" w:rsidRPr="00DF1BAB" w:rsidRDefault="00DF1BAB" w:rsidP="00DF1BAB">
      <w:r w:rsidRPr="00DF1BAB">
        <w:t>四、大小额支付系统</w:t>
      </w:r>
    </w:p>
    <w:p w:rsidR="00DF1BAB" w:rsidRPr="00DF1BAB" w:rsidRDefault="00DF1BAB" w:rsidP="00DF1BAB">
      <w:r w:rsidRPr="00DF1BAB">
        <w:t>业务功能：</w:t>
      </w:r>
    </w:p>
    <w:p w:rsidR="00DF1BAB" w:rsidRPr="00DF1BAB" w:rsidRDefault="00DF1BAB" w:rsidP="00DF1BAB">
      <w:pPr>
        <w:numPr>
          <w:ilvl w:val="0"/>
          <w:numId w:val="15"/>
        </w:numPr>
      </w:pPr>
      <w:r w:rsidRPr="00DF1BAB">
        <w:t>覆盖全国金融机构的参与者接入功能</w:t>
      </w:r>
    </w:p>
    <w:p w:rsidR="00DF1BAB" w:rsidRPr="00DF1BAB" w:rsidRDefault="00DF1BAB" w:rsidP="00DF1BAB">
      <w:pPr>
        <w:numPr>
          <w:ilvl w:val="0"/>
          <w:numId w:val="15"/>
        </w:numPr>
      </w:pPr>
      <w:r w:rsidRPr="00DF1BAB">
        <w:t>稳定、高效的大额资金清算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5"/>
        </w:numPr>
      </w:pPr>
      <w:r w:rsidRPr="00DF1BAB">
        <w:t>大额实时支付采取逐笔发送支付指令、全额实时清算资金的业务处理模式</w:t>
      </w:r>
    </w:p>
    <w:p w:rsidR="00DF1BAB" w:rsidRPr="00DF1BAB" w:rsidRDefault="00DF1BAB" w:rsidP="00DF1BAB">
      <w:pPr>
        <w:numPr>
          <w:ilvl w:val="0"/>
          <w:numId w:val="15"/>
        </w:numPr>
      </w:pPr>
      <w:r w:rsidRPr="00DF1BAB">
        <w:t>丰富的日常支付功能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5"/>
        </w:numPr>
      </w:pPr>
      <w:r w:rsidRPr="00DF1BAB">
        <w:t>小额支付除支持传统的借、贷</w:t>
      </w:r>
      <w:proofErr w:type="gramStart"/>
      <w:r w:rsidRPr="00DF1BAB">
        <w:t>记业务</w:t>
      </w:r>
      <w:proofErr w:type="gramEnd"/>
      <w:r w:rsidRPr="00DF1BAB">
        <w:t>外，还能支持办理公用事业收费、工资、</w:t>
      </w:r>
      <w:r w:rsidRPr="00DF1BAB">
        <w:lastRenderedPageBreak/>
        <w:t>养老金和保险金的发放、支票圈存和支票影像截留等日常支付业务</w:t>
      </w:r>
    </w:p>
    <w:p w:rsidR="00DF1BAB" w:rsidRPr="00DF1BAB" w:rsidRDefault="00DF1BAB" w:rsidP="00DF1BAB">
      <w:pPr>
        <w:numPr>
          <w:ilvl w:val="0"/>
          <w:numId w:val="15"/>
        </w:numPr>
      </w:pPr>
      <w:r w:rsidRPr="00DF1BAB">
        <w:t>金融市场的最终清算功能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5"/>
        </w:numPr>
      </w:pPr>
      <w:r w:rsidRPr="00DF1BAB">
        <w:t>大额支付系统通过与有关系统连接，可直接支持银行间债券市场、同业拆借市场、银联公司、上海清算所各金融市场交易的资金最终结算</w:t>
      </w:r>
    </w:p>
    <w:p w:rsidR="00DF1BAB" w:rsidRPr="00DF1BAB" w:rsidRDefault="00DF1BAB" w:rsidP="00DF1BAB">
      <w:pPr>
        <w:numPr>
          <w:ilvl w:val="1"/>
          <w:numId w:val="15"/>
        </w:numPr>
      </w:pPr>
      <w:r w:rsidRPr="00DF1BAB">
        <w:t>大额支付系统为中央银行再贷款、再贴现、公开市场操作、债券发行兑付、债券交易等业务提供实时结算</w:t>
      </w:r>
    </w:p>
    <w:p w:rsidR="00DF1BAB" w:rsidRPr="00DF1BAB" w:rsidRDefault="00DF1BAB" w:rsidP="00DF1BAB">
      <w:pPr>
        <w:numPr>
          <w:ilvl w:val="0"/>
          <w:numId w:val="15"/>
        </w:numPr>
      </w:pPr>
      <w:r w:rsidRPr="00DF1BAB">
        <w:t>完善的流动性管理和风险防范功能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5"/>
        </w:numPr>
      </w:pPr>
      <w:r w:rsidRPr="00DF1BAB">
        <w:t>提供联机头寸查询、日间透支限额、自动质</w:t>
      </w:r>
      <w:proofErr w:type="gramStart"/>
      <w:r w:rsidRPr="00DF1BAB">
        <w:t>押</w:t>
      </w:r>
      <w:proofErr w:type="gramEnd"/>
      <w:r w:rsidRPr="00DF1BAB">
        <w:t>融资机制、授信、排队撮合、设置清算窗口等系统功能。商业银行可随时查询和预测其头寸的变化情况，并根据需要及时筹措资金。</w:t>
      </w:r>
    </w:p>
    <w:p w:rsidR="00DF1BAB" w:rsidRPr="00DF1BAB" w:rsidRDefault="00DF1BAB" w:rsidP="00DF1BAB">
      <w:pPr>
        <w:numPr>
          <w:ilvl w:val="1"/>
          <w:numId w:val="15"/>
        </w:numPr>
      </w:pPr>
      <w:r w:rsidRPr="00DF1BAB">
        <w:t>采用全额实时清算资金、不足支付的交易作排队处理的方式，并具备债券质押与资金融通相结合的自动质</w:t>
      </w:r>
      <w:proofErr w:type="gramStart"/>
      <w:r w:rsidRPr="00DF1BAB">
        <w:t>押</w:t>
      </w:r>
      <w:proofErr w:type="gramEnd"/>
      <w:r w:rsidRPr="00DF1BAB">
        <w:t>融资机制、设置最低余额控制、高额罚息贷款等功能，切实防范支付风险。</w:t>
      </w:r>
    </w:p>
    <w:p w:rsidR="00DF1BAB" w:rsidRPr="00DF1BAB" w:rsidRDefault="00DF1BAB" w:rsidP="00DF1BAB">
      <w:pPr>
        <w:numPr>
          <w:ilvl w:val="0"/>
          <w:numId w:val="15"/>
        </w:numPr>
      </w:pPr>
      <w:r w:rsidRPr="00DF1BAB">
        <w:t>灵活支持支付业务的创新与发展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5"/>
        </w:numPr>
      </w:pPr>
      <w:r w:rsidRPr="00DF1BAB">
        <w:t>支持城市商业银行汇票处理中心接入，使得各城市商业银行可以方便的开展跨区域汇票业务</w:t>
      </w:r>
    </w:p>
    <w:p w:rsidR="00DF1BAB" w:rsidRPr="00DF1BAB" w:rsidRDefault="00DF1BAB" w:rsidP="00DF1BAB">
      <w:pPr>
        <w:numPr>
          <w:ilvl w:val="1"/>
          <w:numId w:val="15"/>
        </w:numPr>
      </w:pPr>
      <w:r w:rsidRPr="00DF1BAB">
        <w:t>通过在大额普通汇兑业务中增加业务种类，实现了对人民币跨境支付业务的支持</w:t>
      </w:r>
    </w:p>
    <w:p w:rsidR="00DF1BAB" w:rsidRPr="00DF1BAB" w:rsidRDefault="00DF1BAB" w:rsidP="00DF1BAB">
      <w:pPr>
        <w:numPr>
          <w:ilvl w:val="1"/>
          <w:numId w:val="15"/>
        </w:numPr>
      </w:pPr>
      <w:r w:rsidRPr="00DF1BAB">
        <w:t>通过在报文格式标准中定义数据填写规则，实现了对华东三省一市汇票、支票截留、支票圈存等区域特色业务的支持</w:t>
      </w:r>
    </w:p>
    <w:p w:rsidR="00DF1BAB" w:rsidRPr="00DF1BAB" w:rsidRDefault="00DF1BAB" w:rsidP="00DF1BAB">
      <w:r w:rsidRPr="00DF1BAB">
        <w:t>五、支付系统交易量分布（由于彩色转黑白失真，排名后几位的数据可能有误）</w:t>
      </w:r>
    </w:p>
    <w:p w:rsidR="00DF1BAB" w:rsidRPr="00DF1BAB" w:rsidRDefault="00DF1BAB" w:rsidP="00DF1BAB">
      <w:pPr>
        <w:numPr>
          <w:ilvl w:val="0"/>
          <w:numId w:val="16"/>
        </w:numPr>
      </w:pPr>
      <w:r w:rsidRPr="00DF1BAB">
        <w:t>交易业务量分布（</w:t>
      </w:r>
      <w:r w:rsidRPr="00DF1BAB">
        <w:t>2010</w:t>
      </w:r>
      <w:r w:rsidRPr="00DF1BAB">
        <w:t>年）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56.8%</w:t>
      </w:r>
      <w:r w:rsidRPr="00DF1BAB">
        <w:t>，大额支付系统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35.24%</w:t>
      </w:r>
      <w:r w:rsidRPr="00DF1BAB">
        <w:t>，小额支付系统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3.02%</w:t>
      </w:r>
      <w:r w:rsidRPr="00DF1BAB">
        <w:t>，同城票据交换系统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1.96%</w:t>
      </w:r>
      <w:r w:rsidRPr="00DF1BAB">
        <w:t>，银联银行卡跨行交易清算系统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0.32%</w:t>
      </w:r>
      <w:r w:rsidRPr="00DF1BAB">
        <w:t>，银行业金融机构行内支付系统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0.06%</w:t>
      </w:r>
      <w:r w:rsidRPr="00DF1BAB">
        <w:t>，全国支票影像交换系统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2.6%</w:t>
      </w:r>
      <w:r w:rsidRPr="00DF1BAB">
        <w:t>，其他：网上支付跨行清算系统（超级网银）、城市商业银行汇票处理系统和支付清算系统、农信银支付清算系统</w:t>
      </w:r>
    </w:p>
    <w:p w:rsidR="00DF1BAB" w:rsidRPr="00DF1BAB" w:rsidRDefault="00DF1BAB" w:rsidP="00DF1BAB">
      <w:pPr>
        <w:numPr>
          <w:ilvl w:val="0"/>
          <w:numId w:val="16"/>
        </w:numPr>
      </w:pPr>
      <w:r w:rsidRPr="00DF1BAB">
        <w:t>交易金额量分布（</w:t>
      </w:r>
      <w:r w:rsidRPr="00DF1BAB">
        <w:t>2010</w:t>
      </w:r>
      <w:r w:rsidRPr="00DF1BAB">
        <w:t>年）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66.35%</w:t>
      </w:r>
      <w:r w:rsidRPr="00DF1BAB">
        <w:t>，大额支付系统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27.52%</w:t>
      </w:r>
      <w:r w:rsidRPr="00DF1BAB">
        <w:t>，小额支付系统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4.4%</w:t>
      </w:r>
      <w:r w:rsidRPr="00DF1BAB">
        <w:t>，全国支票影像交换系统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0.67%</w:t>
      </w:r>
      <w:r w:rsidRPr="00DF1BAB">
        <w:t>，银联银行卡跨行交易清算系统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0.02%</w:t>
      </w:r>
      <w:r w:rsidRPr="00DF1BAB">
        <w:t>，同城票据交换系统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0.06%</w:t>
      </w:r>
      <w:r w:rsidRPr="00DF1BAB">
        <w:t>，银行业金融机构行内支付系统</w:t>
      </w:r>
    </w:p>
    <w:p w:rsidR="00DF1BAB" w:rsidRPr="00DF1BAB" w:rsidRDefault="00DF1BAB" w:rsidP="00DF1BAB">
      <w:pPr>
        <w:numPr>
          <w:ilvl w:val="1"/>
          <w:numId w:val="16"/>
        </w:numPr>
      </w:pPr>
      <w:r w:rsidRPr="00DF1BAB">
        <w:t>0.97%</w:t>
      </w:r>
      <w:r w:rsidRPr="00DF1BAB">
        <w:t>，其他：网上支付跨行清算系统（超级网银）、城市商业银行汇票处理系统和支付清算系统、农信银支付清算系统</w:t>
      </w:r>
    </w:p>
    <w:p w:rsidR="00DF1BAB" w:rsidRPr="00DF1BAB" w:rsidRDefault="00DF1BAB" w:rsidP="00DF1BAB">
      <w:pPr>
        <w:numPr>
          <w:ilvl w:val="0"/>
          <w:numId w:val="16"/>
        </w:numPr>
      </w:pPr>
      <w:r w:rsidRPr="00DF1BAB">
        <w:t>2011</w:t>
      </w:r>
      <w:r w:rsidRPr="00DF1BAB">
        <w:t>年，大额实时支付系统处理业务</w:t>
      </w:r>
      <w:r w:rsidRPr="00DF1BAB">
        <w:t>3.72</w:t>
      </w:r>
      <w:r w:rsidRPr="00DF1BAB">
        <w:t>亿笔，金额</w:t>
      </w:r>
      <w:r w:rsidRPr="00DF1BAB">
        <w:t>1355.28</w:t>
      </w:r>
      <w:proofErr w:type="gramStart"/>
      <w:r w:rsidRPr="00DF1BAB">
        <w:t>万亿</w:t>
      </w:r>
      <w:proofErr w:type="gramEnd"/>
      <w:r w:rsidRPr="00DF1BAB">
        <w:t>元，同比分别增长</w:t>
      </w:r>
      <w:r w:rsidRPr="00DF1BAB">
        <w:t>27.8%</w:t>
      </w:r>
      <w:r w:rsidRPr="00DF1BAB">
        <w:t>和</w:t>
      </w:r>
      <w:r w:rsidRPr="00DF1BAB">
        <w:t>22.7%</w:t>
      </w:r>
      <w:r w:rsidRPr="00DF1BAB">
        <w:t>，业务金额是全国</w:t>
      </w:r>
      <w:r w:rsidRPr="00DF1BAB">
        <w:t>GDP</w:t>
      </w:r>
      <w:r w:rsidRPr="00DF1BAB">
        <w:t>（</w:t>
      </w:r>
      <w:r w:rsidRPr="00DF1BAB">
        <w:t>47.16</w:t>
      </w:r>
      <w:proofErr w:type="gramStart"/>
      <w:r w:rsidRPr="00DF1BAB">
        <w:t>万亿</w:t>
      </w:r>
      <w:proofErr w:type="gramEnd"/>
      <w:r w:rsidRPr="00DF1BAB">
        <w:t>元）总量的</w:t>
      </w:r>
      <w:r w:rsidRPr="00DF1BAB">
        <w:t>28.74</w:t>
      </w:r>
      <w:r w:rsidRPr="00DF1BAB">
        <w:t>倍。日均处理业务约</w:t>
      </w:r>
      <w:r w:rsidRPr="00DF1BAB">
        <w:t>150</w:t>
      </w:r>
      <w:r w:rsidRPr="00DF1BAB">
        <w:t>万笔，金额约</w:t>
      </w:r>
      <w:r w:rsidRPr="00DF1BAB">
        <w:t>5.42</w:t>
      </w:r>
      <w:proofErr w:type="gramStart"/>
      <w:r w:rsidRPr="00DF1BAB">
        <w:t>万亿</w:t>
      </w:r>
      <w:proofErr w:type="gramEnd"/>
      <w:r w:rsidRPr="00DF1BAB">
        <w:t>元。</w:t>
      </w:r>
    </w:p>
    <w:p w:rsidR="00DF1BAB" w:rsidRPr="00DF1BAB" w:rsidRDefault="00DF1BAB" w:rsidP="00DF1BAB">
      <w:r w:rsidRPr="00DF1BAB">
        <w:t>六、网上支付跨行清算系统（超级网银）</w:t>
      </w:r>
    </w:p>
    <w:p w:rsidR="00DF1BAB" w:rsidRPr="00DF1BAB" w:rsidRDefault="00DF1BAB" w:rsidP="00DF1BAB">
      <w:r w:rsidRPr="00DF1BAB">
        <w:t>系统定位</w:t>
      </w:r>
    </w:p>
    <w:p w:rsidR="00DF1BAB" w:rsidRPr="00DF1BAB" w:rsidRDefault="00DF1BAB" w:rsidP="00DF1BAB">
      <w:pPr>
        <w:numPr>
          <w:ilvl w:val="0"/>
          <w:numId w:val="17"/>
        </w:numPr>
      </w:pPr>
      <w:r w:rsidRPr="00DF1BAB">
        <w:lastRenderedPageBreak/>
        <w:t>中国现代化支付系统的重要应用系统</w:t>
      </w:r>
    </w:p>
    <w:p w:rsidR="00DF1BAB" w:rsidRPr="00DF1BAB" w:rsidRDefault="00DF1BAB" w:rsidP="00DF1BAB">
      <w:pPr>
        <w:numPr>
          <w:ilvl w:val="0"/>
          <w:numId w:val="17"/>
        </w:numPr>
      </w:pPr>
      <w:r w:rsidRPr="00DF1BAB">
        <w:t>主要支持网上跨行零售支付业务的处理</w:t>
      </w:r>
    </w:p>
    <w:p w:rsidR="00DF1BAB" w:rsidRPr="00DF1BAB" w:rsidRDefault="00DF1BAB" w:rsidP="00DF1BAB">
      <w:pPr>
        <w:numPr>
          <w:ilvl w:val="0"/>
          <w:numId w:val="17"/>
        </w:numPr>
      </w:pPr>
      <w:r w:rsidRPr="00DF1BAB">
        <w:t>业务指令逐笔发送、实时轧差、定时清算</w:t>
      </w:r>
    </w:p>
    <w:p w:rsidR="00DF1BAB" w:rsidRPr="00DF1BAB" w:rsidRDefault="00DF1BAB" w:rsidP="00DF1BAB">
      <w:pPr>
        <w:numPr>
          <w:ilvl w:val="0"/>
          <w:numId w:val="17"/>
        </w:numPr>
      </w:pPr>
      <w:r w:rsidRPr="00DF1BAB">
        <w:t>客户通过在线的方式提交支付业务，并可实施获取业务处理结果</w:t>
      </w:r>
    </w:p>
    <w:p w:rsidR="00DF1BAB" w:rsidRPr="00DF1BAB" w:rsidRDefault="00DF1BAB" w:rsidP="00DF1BAB">
      <w:r w:rsidRPr="00DF1BAB">
        <w:t>业务种类</w:t>
      </w:r>
    </w:p>
    <w:p w:rsidR="00DF1BAB" w:rsidRPr="00DF1BAB" w:rsidRDefault="00DF1BAB" w:rsidP="00DF1BAB">
      <w:pPr>
        <w:numPr>
          <w:ilvl w:val="0"/>
          <w:numId w:val="18"/>
        </w:numPr>
      </w:pPr>
      <w:r w:rsidRPr="00DF1BAB">
        <w:t>支付类业务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8"/>
        </w:numPr>
      </w:pPr>
      <w:r w:rsidRPr="00DF1BAB">
        <w:t>网银贷记业务</w:t>
      </w:r>
    </w:p>
    <w:p w:rsidR="00DF1BAB" w:rsidRPr="00DF1BAB" w:rsidRDefault="00DF1BAB" w:rsidP="00DF1BAB">
      <w:pPr>
        <w:numPr>
          <w:ilvl w:val="1"/>
          <w:numId w:val="18"/>
        </w:numPr>
      </w:pPr>
      <w:proofErr w:type="gramStart"/>
      <w:r w:rsidRPr="00DF1BAB">
        <w:t>网银借</w:t>
      </w:r>
      <w:proofErr w:type="gramEnd"/>
      <w:r w:rsidRPr="00DF1BAB">
        <w:t>记业务</w:t>
      </w:r>
    </w:p>
    <w:p w:rsidR="00DF1BAB" w:rsidRPr="00DF1BAB" w:rsidRDefault="00DF1BAB" w:rsidP="00DF1BAB">
      <w:pPr>
        <w:numPr>
          <w:ilvl w:val="1"/>
          <w:numId w:val="18"/>
        </w:numPr>
      </w:pPr>
      <w:proofErr w:type="gramStart"/>
      <w:r w:rsidRPr="00DF1BAB">
        <w:t>第三方贷记</w:t>
      </w:r>
      <w:proofErr w:type="gramEnd"/>
      <w:r w:rsidRPr="00DF1BAB">
        <w:t>业务</w:t>
      </w:r>
    </w:p>
    <w:p w:rsidR="00DF1BAB" w:rsidRPr="00DF1BAB" w:rsidRDefault="00DF1BAB" w:rsidP="00DF1BAB">
      <w:pPr>
        <w:numPr>
          <w:ilvl w:val="1"/>
          <w:numId w:val="18"/>
        </w:numPr>
      </w:pPr>
      <w:r w:rsidRPr="00DF1BAB">
        <w:t>授权</w:t>
      </w:r>
      <w:proofErr w:type="gramStart"/>
      <w:r w:rsidRPr="00DF1BAB">
        <w:t>第三方贷记</w:t>
      </w:r>
      <w:proofErr w:type="gramEnd"/>
      <w:r w:rsidRPr="00DF1BAB">
        <w:t>业务</w:t>
      </w:r>
    </w:p>
    <w:p w:rsidR="00DF1BAB" w:rsidRPr="00DF1BAB" w:rsidRDefault="00DF1BAB" w:rsidP="00DF1BAB">
      <w:pPr>
        <w:numPr>
          <w:ilvl w:val="1"/>
          <w:numId w:val="18"/>
        </w:numPr>
      </w:pPr>
      <w:proofErr w:type="gramStart"/>
      <w:r w:rsidRPr="00DF1BAB">
        <w:t>第三方预授权</w:t>
      </w:r>
      <w:proofErr w:type="gramEnd"/>
      <w:r w:rsidRPr="00DF1BAB">
        <w:t>确认付款业务</w:t>
      </w:r>
    </w:p>
    <w:p w:rsidR="00DF1BAB" w:rsidRPr="00DF1BAB" w:rsidRDefault="00DF1BAB" w:rsidP="00DF1BAB">
      <w:pPr>
        <w:numPr>
          <w:ilvl w:val="0"/>
          <w:numId w:val="18"/>
        </w:numPr>
      </w:pPr>
      <w:r w:rsidRPr="00DF1BAB">
        <w:t>信息类业务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8"/>
        </w:numPr>
      </w:pPr>
      <w:proofErr w:type="gramStart"/>
      <w:r w:rsidRPr="00DF1BAB">
        <w:t>第三方预授权</w:t>
      </w:r>
      <w:proofErr w:type="gramEnd"/>
      <w:r w:rsidRPr="00DF1BAB">
        <w:t>/</w:t>
      </w:r>
      <w:r w:rsidRPr="00DF1BAB">
        <w:t>撤销</w:t>
      </w:r>
    </w:p>
    <w:p w:rsidR="00DF1BAB" w:rsidRPr="00DF1BAB" w:rsidRDefault="00DF1BAB" w:rsidP="00DF1BAB">
      <w:pPr>
        <w:numPr>
          <w:ilvl w:val="1"/>
          <w:numId w:val="18"/>
        </w:numPr>
      </w:pPr>
      <w:r w:rsidRPr="00DF1BAB">
        <w:t>付款授权协议签约</w:t>
      </w:r>
      <w:r w:rsidRPr="00DF1BAB">
        <w:t>/</w:t>
      </w:r>
      <w:r w:rsidRPr="00DF1BAB">
        <w:t>解约</w:t>
      </w:r>
    </w:p>
    <w:p w:rsidR="00DF1BAB" w:rsidRPr="00DF1BAB" w:rsidRDefault="00DF1BAB" w:rsidP="00DF1BAB">
      <w:pPr>
        <w:numPr>
          <w:ilvl w:val="1"/>
          <w:numId w:val="18"/>
        </w:numPr>
      </w:pPr>
      <w:proofErr w:type="gramStart"/>
      <w:r w:rsidRPr="00DF1BAB">
        <w:t>帐户</w:t>
      </w:r>
      <w:proofErr w:type="gramEnd"/>
      <w:r w:rsidRPr="00DF1BAB">
        <w:t>信息跨行查询授权协议签约</w:t>
      </w:r>
      <w:r w:rsidRPr="00DF1BAB">
        <w:t>/</w:t>
      </w:r>
      <w:r w:rsidRPr="00DF1BAB">
        <w:t>解约</w:t>
      </w:r>
    </w:p>
    <w:p w:rsidR="00DF1BAB" w:rsidRPr="00DF1BAB" w:rsidRDefault="00DF1BAB" w:rsidP="00DF1BAB">
      <w:pPr>
        <w:numPr>
          <w:ilvl w:val="1"/>
          <w:numId w:val="18"/>
        </w:numPr>
      </w:pPr>
      <w:proofErr w:type="gramStart"/>
      <w:r w:rsidRPr="00DF1BAB">
        <w:t>帐户</w:t>
      </w:r>
      <w:proofErr w:type="gramEnd"/>
      <w:r w:rsidRPr="00DF1BAB">
        <w:t>信息跨行查询业务</w:t>
      </w:r>
    </w:p>
    <w:p w:rsidR="00DF1BAB" w:rsidRPr="00DF1BAB" w:rsidRDefault="00DF1BAB" w:rsidP="00DF1BAB">
      <w:pPr>
        <w:numPr>
          <w:ilvl w:val="1"/>
          <w:numId w:val="18"/>
        </w:numPr>
      </w:pPr>
      <w:r w:rsidRPr="00DF1BAB">
        <w:t>业务状态查询</w:t>
      </w:r>
    </w:p>
    <w:p w:rsidR="00DF1BAB" w:rsidRPr="00DF1BAB" w:rsidRDefault="00DF1BAB" w:rsidP="00DF1BAB">
      <w:pPr>
        <w:numPr>
          <w:ilvl w:val="1"/>
          <w:numId w:val="18"/>
        </w:numPr>
      </w:pPr>
      <w:r w:rsidRPr="00DF1BAB">
        <w:t>业务撤销</w:t>
      </w:r>
    </w:p>
    <w:p w:rsidR="00DF1BAB" w:rsidRPr="00DF1BAB" w:rsidRDefault="00DF1BAB" w:rsidP="00DF1BAB">
      <w:pPr>
        <w:numPr>
          <w:ilvl w:val="1"/>
          <w:numId w:val="18"/>
        </w:numPr>
      </w:pPr>
      <w:r w:rsidRPr="00DF1BAB">
        <w:t>自由格式报文</w:t>
      </w:r>
    </w:p>
    <w:p w:rsidR="00DF1BAB" w:rsidRPr="00DF1BAB" w:rsidRDefault="00DF1BAB" w:rsidP="00DF1BAB">
      <w:pPr>
        <w:numPr>
          <w:ilvl w:val="0"/>
          <w:numId w:val="18"/>
        </w:numPr>
      </w:pPr>
      <w:r w:rsidRPr="00DF1BAB">
        <w:t>系统管理类业务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8"/>
        </w:numPr>
      </w:pPr>
      <w:proofErr w:type="gramStart"/>
      <w:r w:rsidRPr="00DF1BAB">
        <w:t>净借记</w:t>
      </w:r>
      <w:proofErr w:type="gramEnd"/>
      <w:r w:rsidRPr="00DF1BAB">
        <w:t>限额管理</w:t>
      </w:r>
      <w:bookmarkStart w:id="0" w:name="_GoBack"/>
      <w:bookmarkEnd w:id="0"/>
    </w:p>
    <w:p w:rsidR="00DF1BAB" w:rsidRPr="00DF1BAB" w:rsidRDefault="00DF1BAB" w:rsidP="00DF1BAB">
      <w:pPr>
        <w:numPr>
          <w:ilvl w:val="1"/>
          <w:numId w:val="18"/>
        </w:numPr>
      </w:pPr>
      <w:r w:rsidRPr="00DF1BAB">
        <w:t>风险预警管理</w:t>
      </w:r>
    </w:p>
    <w:p w:rsidR="00DF1BAB" w:rsidRPr="00DF1BAB" w:rsidRDefault="00DF1BAB" w:rsidP="00DF1BAB">
      <w:r w:rsidRPr="00DF1BAB">
        <w:t>典型业务流程</w:t>
      </w:r>
    </w:p>
    <w:p w:rsidR="00DF1BAB" w:rsidRPr="00DF1BAB" w:rsidRDefault="00DF1BAB" w:rsidP="00DF1B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3157" cy="41148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614" cy="411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AB" w:rsidRPr="00DF1BAB" w:rsidRDefault="00DF1BAB" w:rsidP="00DF1BAB">
      <w:r w:rsidRPr="00DF1BAB">
        <w:lastRenderedPageBreak/>
        <w:t>七、其他支付系统</w:t>
      </w:r>
    </w:p>
    <w:p w:rsidR="00DF1BAB" w:rsidRPr="00DF1BAB" w:rsidRDefault="00DF1BAB" w:rsidP="00DF1BAB">
      <w:pPr>
        <w:numPr>
          <w:ilvl w:val="0"/>
          <w:numId w:val="19"/>
        </w:numPr>
      </w:pPr>
      <w:r w:rsidRPr="00DF1BAB">
        <w:t>境内外币支付系统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19"/>
        </w:numPr>
      </w:pPr>
      <w:r w:rsidRPr="00DF1BAB">
        <w:t>多币种结算平台</w:t>
      </w:r>
    </w:p>
    <w:p w:rsidR="00DF1BAB" w:rsidRPr="00DF1BAB" w:rsidRDefault="00DF1BAB" w:rsidP="00DF1BAB">
      <w:pPr>
        <w:numPr>
          <w:ilvl w:val="1"/>
          <w:numId w:val="19"/>
        </w:numPr>
      </w:pPr>
      <w:r w:rsidRPr="00DF1BAB">
        <w:t>实现境内外比离岸支付</w:t>
      </w:r>
    </w:p>
    <w:p w:rsidR="00DF1BAB" w:rsidRPr="00DF1BAB" w:rsidRDefault="00DF1BAB" w:rsidP="00DF1BAB">
      <w:pPr>
        <w:numPr>
          <w:ilvl w:val="1"/>
          <w:numId w:val="19"/>
        </w:numPr>
      </w:pPr>
      <w:r w:rsidRPr="00DF1BAB">
        <w:t>替代</w:t>
      </w:r>
      <w:r w:rsidRPr="00DF1BAB">
        <w:t>SWIFT</w:t>
      </w:r>
    </w:p>
    <w:p w:rsidR="00DF1BAB" w:rsidRPr="00DF1BAB" w:rsidRDefault="00DF1BAB" w:rsidP="00DF1BAB">
      <w:pPr>
        <w:numPr>
          <w:ilvl w:val="0"/>
          <w:numId w:val="19"/>
        </w:numPr>
      </w:pPr>
      <w:r w:rsidRPr="00DF1BAB">
        <w:t>电子商业汇票系统</w:t>
      </w:r>
      <w:r w:rsidRPr="00DF1BAB">
        <w:t>ECDS(</w:t>
      </w:r>
      <w:r w:rsidRPr="00DF1BAB">
        <w:t>市场比</w:t>
      </w:r>
      <w:r w:rsidRPr="00DF1BAB">
        <w:t>A</w:t>
      </w:r>
      <w:r w:rsidRPr="00DF1BAB">
        <w:t>股的规模大</w:t>
      </w:r>
      <w:r w:rsidRPr="00DF1BAB">
        <w:t xml:space="preserve">) </w:t>
      </w:r>
    </w:p>
    <w:p w:rsidR="00DF1BAB" w:rsidRPr="00DF1BAB" w:rsidRDefault="00DF1BAB" w:rsidP="00DF1BAB">
      <w:pPr>
        <w:numPr>
          <w:ilvl w:val="1"/>
          <w:numId w:val="19"/>
        </w:numPr>
      </w:pPr>
      <w:r w:rsidRPr="00DF1BAB">
        <w:t>建立电子商业汇票业务平台</w:t>
      </w:r>
    </w:p>
    <w:p w:rsidR="00DF1BAB" w:rsidRPr="00DF1BAB" w:rsidRDefault="00DF1BAB" w:rsidP="00DF1BAB">
      <w:pPr>
        <w:numPr>
          <w:ilvl w:val="1"/>
          <w:numId w:val="19"/>
        </w:numPr>
      </w:pPr>
      <w:r w:rsidRPr="00DF1BAB">
        <w:t>实现商业汇票的全程电子化</w:t>
      </w:r>
    </w:p>
    <w:p w:rsidR="00DF1BAB" w:rsidRPr="00DF1BAB" w:rsidRDefault="00DF1BAB" w:rsidP="00DF1BAB">
      <w:pPr>
        <w:numPr>
          <w:ilvl w:val="1"/>
          <w:numId w:val="19"/>
        </w:numPr>
      </w:pPr>
      <w:r w:rsidRPr="00DF1BAB">
        <w:t>提供纸质商业汇票登记查询与商业汇票公开报价功能</w:t>
      </w:r>
    </w:p>
    <w:p w:rsidR="00DF1BAB" w:rsidRPr="00DF1BAB" w:rsidRDefault="00DF1BAB" w:rsidP="00DF1BAB">
      <w:r w:rsidRPr="00DF1BAB">
        <w:t>八、二代支付系统建设进展</w:t>
      </w:r>
      <w:r w:rsidRPr="00DF1BAB">
        <w:br/>
        <w:t xml:space="preserve">        </w:t>
      </w:r>
      <w:proofErr w:type="gramStart"/>
      <w:r w:rsidRPr="00DF1BAB">
        <w:t>立足第</w:t>
      </w:r>
      <w:proofErr w:type="gramEnd"/>
      <w:r w:rsidRPr="00DF1BAB">
        <w:t>一代支付系统的成功经验，引入先进的支付清算管理理念和技术，进一步丰富系统功能，提高清算效率，拓宽服务范围，加强运行监控，</w:t>
      </w:r>
      <w:proofErr w:type="gramStart"/>
      <w:r w:rsidRPr="00DF1BAB">
        <w:t>完善灾备系统</w:t>
      </w:r>
      <w:proofErr w:type="gramEnd"/>
      <w:r w:rsidRPr="00DF1BAB">
        <w:t>，建设</w:t>
      </w:r>
      <w:r w:rsidRPr="00DF1BAB">
        <w:t xml:space="preserve"> </w:t>
      </w:r>
      <w:r w:rsidRPr="00DF1BAB">
        <w:t>适应新兴电子支付发展的、面向参与者管理需要的、功能更完善、架构更合理、技术更先进、管理更简便，以上海中心建设为起点，以北京中心投产为建成标志的新</w:t>
      </w:r>
      <w:r w:rsidRPr="00DF1BAB">
        <w:t xml:space="preserve"> </w:t>
      </w:r>
      <w:r w:rsidRPr="00DF1BAB">
        <w:t>一代支付系统。</w:t>
      </w:r>
    </w:p>
    <w:p w:rsidR="00DF1BAB" w:rsidRPr="00DF1BAB" w:rsidRDefault="00DF1BAB" w:rsidP="00DF1BAB">
      <w:pPr>
        <w:numPr>
          <w:ilvl w:val="0"/>
          <w:numId w:val="20"/>
        </w:numPr>
      </w:pPr>
      <w:r w:rsidRPr="00DF1BAB">
        <w:t>业务创新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20"/>
        </w:numPr>
      </w:pPr>
      <w:r w:rsidRPr="00DF1BAB">
        <w:t>灵活的接入方式及清算模式</w:t>
      </w:r>
    </w:p>
    <w:p w:rsidR="00DF1BAB" w:rsidRPr="00DF1BAB" w:rsidRDefault="00DF1BAB" w:rsidP="00DF1BAB">
      <w:pPr>
        <w:numPr>
          <w:ilvl w:val="1"/>
          <w:numId w:val="20"/>
        </w:numPr>
      </w:pPr>
      <w:r w:rsidRPr="00DF1BAB">
        <w:t>全面的流动性管理功能</w:t>
      </w:r>
    </w:p>
    <w:p w:rsidR="00DF1BAB" w:rsidRPr="00DF1BAB" w:rsidRDefault="00DF1BAB" w:rsidP="00DF1BAB">
      <w:pPr>
        <w:numPr>
          <w:ilvl w:val="1"/>
          <w:numId w:val="20"/>
        </w:numPr>
      </w:pPr>
      <w:r w:rsidRPr="00DF1BAB">
        <w:t>支持新兴电子支付业务处理</w:t>
      </w:r>
    </w:p>
    <w:p w:rsidR="00DF1BAB" w:rsidRPr="00DF1BAB" w:rsidRDefault="00DF1BAB" w:rsidP="00DF1BAB">
      <w:pPr>
        <w:numPr>
          <w:ilvl w:val="1"/>
          <w:numId w:val="20"/>
        </w:numPr>
      </w:pPr>
      <w:r w:rsidRPr="00DF1BAB">
        <w:t>支持外汇交易市场</w:t>
      </w:r>
      <w:r w:rsidRPr="00DF1BAB">
        <w:t>PVP</w:t>
      </w:r>
      <w:r w:rsidRPr="00DF1BAB">
        <w:t>清算</w:t>
      </w:r>
    </w:p>
    <w:p w:rsidR="00DF1BAB" w:rsidRPr="00DF1BAB" w:rsidRDefault="00DF1BAB" w:rsidP="00DF1BAB">
      <w:pPr>
        <w:numPr>
          <w:ilvl w:val="1"/>
          <w:numId w:val="20"/>
        </w:numPr>
      </w:pPr>
      <w:r w:rsidRPr="00DF1BAB">
        <w:t>人民币跨境结算功能</w:t>
      </w:r>
    </w:p>
    <w:p w:rsidR="00DF1BAB" w:rsidRPr="00DF1BAB" w:rsidRDefault="00DF1BAB" w:rsidP="00DF1BAB">
      <w:pPr>
        <w:numPr>
          <w:ilvl w:val="0"/>
          <w:numId w:val="20"/>
        </w:numPr>
      </w:pPr>
      <w:r w:rsidRPr="00DF1BAB">
        <w:t>技术创新</w:t>
      </w:r>
      <w:r w:rsidRPr="00DF1BAB">
        <w:t xml:space="preserve"> </w:t>
      </w:r>
    </w:p>
    <w:p w:rsidR="00DF1BAB" w:rsidRPr="00DF1BAB" w:rsidRDefault="00DF1BAB" w:rsidP="00DF1BAB">
      <w:pPr>
        <w:numPr>
          <w:ilvl w:val="1"/>
          <w:numId w:val="20"/>
        </w:numPr>
      </w:pPr>
      <w:r w:rsidRPr="00DF1BAB">
        <w:t>支付报文国际标准化</w:t>
      </w:r>
      <w:r w:rsidRPr="00DF1BAB">
        <w:t xml:space="preserve"> 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采用</w:t>
      </w:r>
      <w:r w:rsidRPr="00DF1BAB">
        <w:t>ISO20022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采用</w:t>
      </w:r>
      <w:r w:rsidRPr="00DF1BAB">
        <w:t>UTF-8</w:t>
      </w:r>
      <w:r w:rsidRPr="00DF1BAB">
        <w:t>编码</w:t>
      </w:r>
    </w:p>
    <w:p w:rsidR="00DF1BAB" w:rsidRPr="00DF1BAB" w:rsidRDefault="00DF1BAB" w:rsidP="00DF1BAB">
      <w:pPr>
        <w:numPr>
          <w:ilvl w:val="1"/>
          <w:numId w:val="20"/>
        </w:numPr>
      </w:pPr>
      <w:r w:rsidRPr="00DF1BAB">
        <w:t>更高的系统可用性</w:t>
      </w:r>
      <w:r w:rsidRPr="00DF1BAB">
        <w:t xml:space="preserve"> 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充分应用</w:t>
      </w:r>
      <w:proofErr w:type="spellStart"/>
      <w:r w:rsidRPr="00DF1BAB">
        <w:t>Sysplex</w:t>
      </w:r>
      <w:proofErr w:type="spellEnd"/>
      <w:r w:rsidRPr="00DF1BAB">
        <w:t>、</w:t>
      </w:r>
      <w:proofErr w:type="spellStart"/>
      <w:r w:rsidRPr="00DF1BAB">
        <w:t>Hyperswap</w:t>
      </w:r>
      <w:proofErr w:type="spellEnd"/>
      <w:r w:rsidRPr="00DF1BAB">
        <w:t>、</w:t>
      </w:r>
      <w:r w:rsidRPr="00DF1BAB">
        <w:t>GDPS-MGM</w:t>
      </w:r>
      <w:r w:rsidRPr="00DF1BAB">
        <w:t>等高可用性技术（注：这些技术都是</w:t>
      </w:r>
      <w:r w:rsidRPr="00DF1BAB">
        <w:t>IOE</w:t>
      </w:r>
      <w:r w:rsidRPr="00DF1BAB">
        <w:t>的）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调整应用结构，支持并行处理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报文传输与业务处理分离</w:t>
      </w:r>
    </w:p>
    <w:p w:rsidR="00DF1BAB" w:rsidRPr="00DF1BAB" w:rsidRDefault="00DF1BAB" w:rsidP="00DF1BAB">
      <w:pPr>
        <w:numPr>
          <w:ilvl w:val="1"/>
          <w:numId w:val="20"/>
        </w:numPr>
      </w:pPr>
      <w:r w:rsidRPr="00DF1BAB">
        <w:t>更高效的运行维护机制</w:t>
      </w:r>
      <w:r w:rsidRPr="00DF1BAB">
        <w:t xml:space="preserve"> 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建设应用监控系统，提高自动化运维水平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多中心一体化运营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控制中心与数据中心分离</w:t>
      </w:r>
    </w:p>
    <w:p w:rsidR="00DF1BAB" w:rsidRPr="00DF1BAB" w:rsidRDefault="00DF1BAB" w:rsidP="00DF1BAB">
      <w:pPr>
        <w:numPr>
          <w:ilvl w:val="1"/>
          <w:numId w:val="20"/>
        </w:numPr>
      </w:pPr>
      <w:r w:rsidRPr="00DF1BAB">
        <w:t>丰富的信息管理及数据统计分析功能</w:t>
      </w:r>
      <w:r w:rsidRPr="00DF1BAB">
        <w:t xml:space="preserve"> 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更强大的业务实施监控系统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引入类似搜索引擎的全文检索技术，支持海量数据的归档和检索</w:t>
      </w:r>
    </w:p>
    <w:p w:rsidR="00DF1BAB" w:rsidRPr="00DF1BAB" w:rsidRDefault="00DF1BAB" w:rsidP="00DF1BAB">
      <w:pPr>
        <w:numPr>
          <w:ilvl w:val="1"/>
          <w:numId w:val="20"/>
        </w:numPr>
      </w:pPr>
      <w:r w:rsidRPr="00DF1BAB">
        <w:t>健全的系统备份功能</w:t>
      </w:r>
      <w:r w:rsidRPr="00DF1BAB">
        <w:t xml:space="preserve"> </w:t>
      </w:r>
    </w:p>
    <w:p w:rsidR="00DF1BAB" w:rsidRPr="00DF1BAB" w:rsidRDefault="00DF1BAB" w:rsidP="00DF1BAB">
      <w:pPr>
        <w:numPr>
          <w:ilvl w:val="2"/>
          <w:numId w:val="20"/>
        </w:numPr>
      </w:pPr>
      <w:r w:rsidRPr="00DF1BAB">
        <w:t>生产站点和备份站点同步建设</w:t>
      </w:r>
    </w:p>
    <w:p w:rsidR="003F40FC" w:rsidRPr="00DF1BAB" w:rsidRDefault="003F40FC"/>
    <w:sectPr w:rsidR="003F40FC" w:rsidRPr="00DF1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04A3B"/>
    <w:multiLevelType w:val="multilevel"/>
    <w:tmpl w:val="F022C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3668C"/>
    <w:multiLevelType w:val="multilevel"/>
    <w:tmpl w:val="BBE0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62BCB"/>
    <w:multiLevelType w:val="multilevel"/>
    <w:tmpl w:val="91D4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95E6F"/>
    <w:multiLevelType w:val="multilevel"/>
    <w:tmpl w:val="2FD8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30A07"/>
    <w:multiLevelType w:val="multilevel"/>
    <w:tmpl w:val="C094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C25CF"/>
    <w:multiLevelType w:val="multilevel"/>
    <w:tmpl w:val="5754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04320"/>
    <w:multiLevelType w:val="multilevel"/>
    <w:tmpl w:val="CD3E4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A1F5C"/>
    <w:multiLevelType w:val="multilevel"/>
    <w:tmpl w:val="63C2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046F4"/>
    <w:multiLevelType w:val="multilevel"/>
    <w:tmpl w:val="92F4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65AB5"/>
    <w:multiLevelType w:val="multilevel"/>
    <w:tmpl w:val="4464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16702"/>
    <w:multiLevelType w:val="multilevel"/>
    <w:tmpl w:val="17D8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4025C"/>
    <w:multiLevelType w:val="multilevel"/>
    <w:tmpl w:val="5C686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677D8"/>
    <w:multiLevelType w:val="multilevel"/>
    <w:tmpl w:val="D2A6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43646"/>
    <w:multiLevelType w:val="multilevel"/>
    <w:tmpl w:val="C47A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CD6234"/>
    <w:multiLevelType w:val="multilevel"/>
    <w:tmpl w:val="58EC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E7C17"/>
    <w:multiLevelType w:val="multilevel"/>
    <w:tmpl w:val="ACF6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063E2A"/>
    <w:multiLevelType w:val="multilevel"/>
    <w:tmpl w:val="2D86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B605DB"/>
    <w:multiLevelType w:val="multilevel"/>
    <w:tmpl w:val="8DA2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06A51"/>
    <w:multiLevelType w:val="multilevel"/>
    <w:tmpl w:val="C268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CA748E"/>
    <w:multiLevelType w:val="multilevel"/>
    <w:tmpl w:val="5454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"/>
  </w:num>
  <w:num w:numId="5">
    <w:abstractNumId w:val="16"/>
  </w:num>
  <w:num w:numId="6">
    <w:abstractNumId w:val="5"/>
  </w:num>
  <w:num w:numId="7">
    <w:abstractNumId w:val="3"/>
  </w:num>
  <w:num w:numId="8">
    <w:abstractNumId w:val="17"/>
  </w:num>
  <w:num w:numId="9">
    <w:abstractNumId w:val="12"/>
  </w:num>
  <w:num w:numId="10">
    <w:abstractNumId w:val="11"/>
  </w:num>
  <w:num w:numId="11">
    <w:abstractNumId w:val="8"/>
  </w:num>
  <w:num w:numId="12">
    <w:abstractNumId w:val="4"/>
  </w:num>
  <w:num w:numId="13">
    <w:abstractNumId w:val="13"/>
  </w:num>
  <w:num w:numId="14">
    <w:abstractNumId w:val="15"/>
  </w:num>
  <w:num w:numId="15">
    <w:abstractNumId w:val="0"/>
  </w:num>
  <w:num w:numId="16">
    <w:abstractNumId w:val="7"/>
  </w:num>
  <w:num w:numId="17">
    <w:abstractNumId w:val="10"/>
  </w:num>
  <w:num w:numId="18">
    <w:abstractNumId w:val="18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A7"/>
    <w:rsid w:val="003F40FC"/>
    <w:rsid w:val="00A158A7"/>
    <w:rsid w:val="00D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D6D0C27-EBEA-4853-B077-120BDC16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1B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1BA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DF1BAB"/>
    <w:rPr>
      <w:color w:val="0000FF"/>
      <w:u w:val="single"/>
    </w:rPr>
  </w:style>
  <w:style w:type="character" w:customStyle="1" w:styleId="page-metadata-attachments-text">
    <w:name w:val="page-metadata-attachments-text"/>
    <w:basedOn w:val="a0"/>
    <w:rsid w:val="00DF1BAB"/>
  </w:style>
  <w:style w:type="character" w:customStyle="1" w:styleId="page-metadata-attachments-count">
    <w:name w:val="page-metadata-attachments-count"/>
    <w:basedOn w:val="a0"/>
    <w:rsid w:val="00DF1BAB"/>
  </w:style>
  <w:style w:type="character" w:customStyle="1" w:styleId="noprint">
    <w:name w:val="noprint"/>
    <w:basedOn w:val="a0"/>
    <w:rsid w:val="00DF1BAB"/>
  </w:style>
  <w:style w:type="paragraph" w:styleId="a4">
    <w:name w:val="Normal (Web)"/>
    <w:basedOn w:val="a"/>
    <w:uiPriority w:val="99"/>
    <w:semiHidden/>
    <w:unhideWhenUsed/>
    <w:rsid w:val="00DF1B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DF1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2015-11-26T10:10:00Z</dcterms:created>
  <dcterms:modified xsi:type="dcterms:W3CDTF">2015-11-26T10:17:00Z</dcterms:modified>
</cp:coreProperties>
</file>