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143000" cy="640489"/>
            <wp:docPr id="1" name="Picture 1"/>
            <wp:cNvGraphicFramePr>
              <a:graphicFrameLocks noChangeAspect="1"/>
            </wp:cNvGraphicFramePr>
            <a:graphic>
              <a:graphicData uri="http://schemas.openxmlformats.org/drawingml/2006/picture">
                <pic:pic>
                  <pic:nvPicPr>
                    <pic:cNvPr id="0" name="kori-logo.png"/>
                    <pic:cNvPicPr/>
                  </pic:nvPicPr>
                  <pic:blipFill>
                    <a:blip r:embed="rId11"/>
                    <a:stretch>
                      <a:fillRect/>
                    </a:stretch>
                  </pic:blipFill>
                  <pic:spPr>
                    <a:xfrm>
                      <a:off x="0" y="0"/>
                      <a:ext cx="1143000" cy="640489"/>
                    </a:xfrm>
                    <a:prstGeom prst="rect"/>
                  </pic:spPr>
                </pic:pic>
              </a:graphicData>
            </a:graphic>
          </wp:inline>
        </w:drawing>
      </w:r>
    </w:p>
    <w:p>
      <w:pPr>
        <w:spacing w:before="160" w:after="60"/>
      </w:pPr>
      <w:r>
        <w:rPr>
          <w:rFonts w:ascii="Calibri" w:hAnsi="Calibri"/>
          <w:b/>
          <w:color w:val="0B2545"/>
          <w:sz w:val="50"/>
        </w:rPr>
        <w:t>Mode d'emploi complet de la plateforme myKORI</w:t>
      </w:r>
    </w:p>
    <w:p>
      <w:pPr>
        <w:spacing w:after="360"/>
      </w:pPr>
      <w:r>
        <w:rPr>
          <w:rFonts w:ascii="Calibri" w:hAnsi="Calibri"/>
          <w:color w:val="64748B"/>
          <w:sz w:val="24"/>
        </w:rPr>
        <w:t>Guide utilisateur avec captures d'ecran et regles de gestion PMG/FCP</w:t>
      </w:r>
    </w:p>
    <w:tbl>
      <w:tblPr>
        <w:tblStyle w:val="TableGrid"/>
        <w:tblW w:type="auto" w:w="0"/>
        <w:jc w:val="left"/>
        <w:tblLayout w:type="fixed"/>
        <w:tblLook w:firstColumn="1" w:firstRow="1" w:lastColumn="0" w:lastRow="0" w:noHBand="0" w:noVBand="1" w:val="04A0"/>
      </w:tblPr>
      <w:tblGrid>
        <w:gridCol w:w="4680"/>
        <w:gridCol w:w="4680"/>
      </w:tblGrid>
      <w:tr>
        <w:tc>
          <w:tcPr>
            <w:tcW w:type="dxa" w:w="2304"/>
            <w:vAlign w:val="center"/>
            <w:shd w:fill="FFF4CC"/>
          </w:tcPr>
          <w:p>
            <w:pPr>
              <w:spacing w:after="40"/>
            </w:pPr>
            <w:r>
              <w:rPr>
                <w:rFonts w:ascii="Calibri" w:hAnsi="Calibri"/>
                <w:b/>
                <w:color w:val="1F2937"/>
                <w:sz w:val="18"/>
              </w:rPr>
            </w:r>
            <w:r>
              <w:rPr>
                <w:rFonts w:ascii="Calibri" w:hAnsi="Calibri"/>
                <w:b/>
                <w:color w:val="1F2937"/>
                <w:sz w:val="18"/>
              </w:rPr>
              <w:t>Plateforme</w:t>
            </w:r>
          </w:p>
        </w:tc>
        <w:tc>
          <w:tcPr>
            <w:tcW w:type="dxa" w:w="6768"/>
            <w:vAlign w:val="center"/>
            <w:shd w:fill="FFF4CC"/>
          </w:tcPr>
          <w:p>
            <w:pPr>
              <w:spacing w:after="40"/>
            </w:pPr>
            <w:r>
              <w:rPr>
                <w:rFonts w:ascii="Calibri" w:hAnsi="Calibri"/>
                <w:b/>
                <w:color w:val="1F2937"/>
                <w:sz w:val="18"/>
              </w:rPr>
            </w:r>
            <w:r>
              <w:rPr>
                <w:rFonts w:ascii="Calibri" w:hAnsi="Calibri"/>
                <w:b/>
                <w:color w:val="1F2937"/>
                <w:sz w:val="18"/>
              </w:rPr>
              <w:t>myKORI - KORI Asset Management</w:t>
            </w:r>
          </w:p>
        </w:tc>
      </w:tr>
      <w:tr>
        <w:tc>
          <w:tcPr>
            <w:tcW w:type="dxa" w:w="2304"/>
            <w:vAlign w:val="center"/>
          </w:tcPr>
          <w:p>
            <w:pPr>
              <w:spacing w:after="40"/>
            </w:pPr>
            <w:r>
              <w:rPr>
                <w:rFonts w:ascii="Calibri" w:hAnsi="Calibri"/>
                <w:sz w:val="18"/>
              </w:rPr>
            </w:r>
            <w:r>
              <w:rPr>
                <w:rFonts w:ascii="Calibri" w:hAnsi="Calibri"/>
                <w:b/>
                <w:color w:val="0B2545"/>
                <w:sz w:val="18"/>
              </w:rPr>
              <w:t>Profil documente</w:t>
            </w:r>
          </w:p>
        </w:tc>
        <w:tc>
          <w:tcPr>
            <w:tcW w:type="dxa" w:w="6768"/>
            <w:vAlign w:val="center"/>
          </w:tcPr>
          <w:p>
            <w:pPr>
              <w:spacing w:after="40"/>
            </w:pPr>
            <w:r>
              <w:rPr>
                <w:rFonts w:ascii="Calibri" w:hAnsi="Calibri"/>
                <w:sz w:val="18"/>
              </w:rPr>
            </w:r>
            <w:r>
              <w:rPr>
                <w:rFonts w:ascii="Calibri" w:hAnsi="Calibri"/>
                <w:b w:val="0"/>
                <w:color w:val="1F2937"/>
                <w:sz w:val="18"/>
              </w:rPr>
              <w:t>Espace Asset Manager / KAM</w:t>
            </w:r>
          </w:p>
        </w:tc>
      </w:tr>
      <w:tr>
        <w:tc>
          <w:tcPr>
            <w:tcW w:type="dxa" w:w="2304"/>
            <w:vAlign w:val="center"/>
          </w:tcPr>
          <w:p>
            <w:pPr>
              <w:spacing w:after="40"/>
            </w:pPr>
            <w:r>
              <w:rPr>
                <w:rFonts w:ascii="Calibri" w:hAnsi="Calibri"/>
                <w:sz w:val="18"/>
              </w:rPr>
            </w:r>
            <w:r>
              <w:rPr>
                <w:rFonts w:ascii="Calibri" w:hAnsi="Calibri"/>
                <w:b/>
                <w:color w:val="0B2545"/>
                <w:sz w:val="18"/>
              </w:rPr>
              <w:t>Date</w:t>
            </w:r>
          </w:p>
        </w:tc>
        <w:tc>
          <w:tcPr>
            <w:tcW w:type="dxa" w:w="6768"/>
            <w:vAlign w:val="center"/>
          </w:tcPr>
          <w:p>
            <w:pPr>
              <w:spacing w:after="40"/>
            </w:pPr>
            <w:r>
              <w:rPr>
                <w:rFonts w:ascii="Calibri" w:hAnsi="Calibri"/>
                <w:sz w:val="18"/>
              </w:rPr>
            </w:r>
            <w:r>
              <w:rPr>
                <w:rFonts w:ascii="Calibri" w:hAnsi="Calibri"/>
                <w:b w:val="0"/>
                <w:color w:val="1F2937"/>
                <w:sz w:val="18"/>
              </w:rPr>
              <w:t>21/06/2026</w:t>
            </w:r>
          </w:p>
        </w:tc>
      </w:tr>
      <w:tr>
        <w:tc>
          <w:tcPr>
            <w:tcW w:type="dxa" w:w="2304"/>
            <w:vAlign w:val="center"/>
          </w:tcPr>
          <w:p>
            <w:pPr>
              <w:spacing w:after="40"/>
            </w:pPr>
            <w:r>
              <w:rPr>
                <w:rFonts w:ascii="Calibri" w:hAnsi="Calibri"/>
                <w:sz w:val="18"/>
              </w:rPr>
            </w:r>
            <w:r>
              <w:rPr>
                <w:rFonts w:ascii="Calibri" w:hAnsi="Calibri"/>
                <w:b/>
                <w:color w:val="0B2545"/>
                <w:sz w:val="18"/>
              </w:rPr>
              <w:t>Source des captures</w:t>
            </w:r>
          </w:p>
        </w:tc>
        <w:tc>
          <w:tcPr>
            <w:tcW w:type="dxa" w:w="6768"/>
            <w:vAlign w:val="center"/>
          </w:tcPr>
          <w:p>
            <w:pPr>
              <w:spacing w:after="40"/>
            </w:pPr>
            <w:r>
              <w:rPr>
                <w:rFonts w:ascii="Calibri" w:hAnsi="Calibri"/>
                <w:sz w:val="18"/>
              </w:rPr>
            </w:r>
            <w:r>
              <w:rPr>
                <w:rFonts w:ascii="Calibri" w:hAnsi="Calibri"/>
                <w:b w:val="0"/>
                <w:color w:val="1F2937"/>
                <w:sz w:val="18"/>
              </w:rPr>
              <w:t>Environnement local mykori.test</w:t>
            </w:r>
          </w:p>
        </w:tc>
      </w:tr>
    </w:tbl>
    <w:tbl>
      <w:tblPr>
        <w:tblStyle w:val="TableGrid"/>
        <w:tblW w:type="auto" w:w="0"/>
        <w:tblLayout w:type="fixed"/>
        <w:tblLook w:firstColumn="1" w:firstRow="1" w:lastColumn="0" w:lastRow="0" w:noHBand="0" w:noVBand="1" w:val="04A0"/>
      </w:tblPr>
      <w:tblGrid>
        <w:gridCol w:w="9072"/>
      </w:tblGrid>
      <w:tr>
        <w:tc>
          <w:tcPr>
            <w:tcW w:type="dxa" w:w="9360"/>
            <w:shd w:fill="E8F7EF"/>
          </w:tcPr>
          <w:p>
            <w:pPr>
              <w:spacing w:after="40"/>
            </w:pPr>
            <w:r>
              <w:rPr>
                <w:rFonts w:ascii="Calibri" w:hAnsi="Calibri"/>
                <w:color w:val="1F2937"/>
                <w:sz w:val="19"/>
              </w:rPr>
              <w:t>Ce guide explique l'utilisation operationnelle de la plateforme: connexion, clients, placements, valorisation, releves, liquidite et preuves de paiement. Les ecrans peuvent varier selon le role, les droits et les donnees visibles dans l'environnement.</w:t>
            </w:r>
          </w:p>
        </w:tc>
      </w:tr>
    </w:tbl>
    <w:p/>
    <w:p>
      <w:r>
        <w:br w:type="page"/>
      </w:r>
    </w:p>
    <w:p>
      <w:pPr>
        <w:pStyle w:val="Heading1"/>
      </w:pPr>
      <w:r>
        <w:t>Sommaire</w:t>
      </w:r>
    </w:p>
    <w:p>
      <w:pPr>
        <w:pStyle w:val="ListBullet"/>
        <w:spacing w:after="80"/>
      </w:pPr>
      <w:r>
        <w:rPr>
          <w:rFonts w:ascii="Calibri" w:hAnsi="Calibri"/>
          <w:sz w:val="21"/>
        </w:rPr>
        <w:t>Acces, connexion et principes de securite</w:t>
      </w:r>
    </w:p>
    <w:p>
      <w:pPr>
        <w:pStyle w:val="ListBullet"/>
        <w:spacing w:after="80"/>
      </w:pPr>
      <w:r>
        <w:rPr>
          <w:rFonts w:ascii="Calibri" w:hAnsi="Calibri"/>
          <w:sz w:val="21"/>
        </w:rPr>
        <w:t>Navigation Asset Manager et tableau de bord</w:t>
      </w:r>
    </w:p>
    <w:p>
      <w:pPr>
        <w:pStyle w:val="ListBullet"/>
        <w:spacing w:after="80"/>
      </w:pPr>
      <w:r>
        <w:rPr>
          <w:rFonts w:ascii="Calibri" w:hAnsi="Calibri"/>
          <w:sz w:val="21"/>
        </w:rPr>
        <w:t>Gestion des clients et creation d'un compte client</w:t>
      </w:r>
    </w:p>
    <w:p>
      <w:pPr>
        <w:pStyle w:val="ListBullet"/>
        <w:spacing w:after="80"/>
      </w:pPr>
      <w:r>
        <w:rPr>
          <w:rFonts w:ascii="Calibri" w:hAnsi="Calibri"/>
          <w:sz w:val="21"/>
        </w:rPr>
        <w:t>Gestion des placements PMG et FCP</w:t>
      </w:r>
    </w:p>
    <w:p>
      <w:pPr>
        <w:pStyle w:val="ListBullet"/>
        <w:spacing w:after="80"/>
      </w:pPr>
      <w:r>
        <w:rPr>
          <w:rFonts w:ascii="Calibri" w:hAnsi="Calibri"/>
          <w:sz w:val="21"/>
        </w:rPr>
        <w:t>Valorisation, liquidite, paiements et justificatifs</w:t>
      </w:r>
    </w:p>
    <w:p>
      <w:pPr>
        <w:pStyle w:val="ListBullet"/>
        <w:spacing w:after="80"/>
      </w:pPr>
      <w:r>
        <w:rPr>
          <w:rFonts w:ascii="Calibri" w:hAnsi="Calibri"/>
          <w:sz w:val="21"/>
        </w:rPr>
        <w:t>Generation, controle et envoi des releves clients</w:t>
      </w:r>
    </w:p>
    <w:p>
      <w:pPr>
        <w:pStyle w:val="ListBullet"/>
        <w:spacing w:after="80"/>
      </w:pPr>
      <w:r>
        <w:rPr>
          <w:rFonts w:ascii="Calibri" w:hAnsi="Calibri"/>
          <w:sz w:val="21"/>
        </w:rPr>
        <w:t>Controles mensuels et depannage courant</w:t>
      </w:r>
    </w:p>
    <w:p>
      <w:r>
        <w:br w:type="page"/>
      </w:r>
    </w:p>
    <w:p>
      <w:pPr>
        <w:pStyle w:val="Heading1"/>
      </w:pPr>
      <w:r>
        <w:t>1. Acces et connexion</w:t>
      </w:r>
    </w:p>
    <w:p>
      <w:pPr>
        <w:spacing w:after="160"/>
      </w:pPr>
      <w:r>
        <w:t>La plateforme est accessible depuis l'adresse fournie par l'administrateur. En local, les captures de ce guide utilisent mykori.test. Chaque utilisateur doit se connecter avec son identifiant et son mot de passe, puis respecter les controles de securite actives sur son profil.</w:t>
      </w:r>
    </w:p>
    <w:p>
      <w:pPr>
        <w:spacing w:before="80" w:after="40"/>
        <w:jc w:val="center"/>
      </w:pPr>
      <w:r>
        <w:drawing>
          <wp:inline xmlns:a="http://schemas.openxmlformats.org/drawingml/2006/main" xmlns:pic="http://schemas.openxmlformats.org/drawingml/2006/picture">
            <wp:extent cx="5806440" cy="3266920"/>
            <wp:docPr id="2" name="Picture 2"/>
            <wp:cNvGraphicFramePr>
              <a:graphicFrameLocks noChangeAspect="1"/>
            </wp:cNvGraphicFramePr>
            <a:graphic>
              <a:graphicData uri="http://schemas.openxmlformats.org/drawingml/2006/picture">
                <pic:pic>
                  <pic:nvPicPr>
                    <pic:cNvPr id="0" name="01-connexion.png"/>
                    <pic:cNvPicPr/>
                  </pic:nvPicPr>
                  <pic:blipFill>
                    <a:blip r:embed="rId12"/>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Ecran de connexion de la plateforme myKORI.</w:t>
      </w:r>
    </w:p>
    <w:p>
      <w:pPr>
        <w:pStyle w:val="ListNumber"/>
        <w:spacing w:after="80"/>
      </w:pPr>
      <w:r>
        <w:rPr>
          <w:rFonts w:ascii="Calibri" w:hAnsi="Calibri"/>
          <w:sz w:val="21"/>
        </w:rPr>
        <w:t>Ouvrir l'adresse de la plateforme dans le navigateur.</w:t>
      </w:r>
    </w:p>
    <w:p>
      <w:pPr>
        <w:pStyle w:val="ListNumber"/>
        <w:spacing w:after="80"/>
      </w:pPr>
      <w:r>
        <w:rPr>
          <w:rFonts w:ascii="Calibri" w:hAnsi="Calibri"/>
          <w:sz w:val="21"/>
        </w:rPr>
        <w:t>Saisir l'email et le mot de passe du compte autorise.</w:t>
      </w:r>
    </w:p>
    <w:p>
      <w:pPr>
        <w:pStyle w:val="ListNumber"/>
        <w:spacing w:after="80"/>
      </w:pPr>
      <w:r>
        <w:rPr>
          <w:rFonts w:ascii="Calibri" w:hAnsi="Calibri"/>
          <w:sz w:val="21"/>
        </w:rPr>
        <w:t>Valider la connexion et suivre l'eventuelle etape de verification.</w:t>
      </w:r>
    </w:p>
    <w:p>
      <w:pPr>
        <w:pStyle w:val="ListNumber"/>
        <w:spacing w:after="80"/>
      </w:pPr>
      <w:r>
        <w:rPr>
          <w:rFonts w:ascii="Calibri" w:hAnsi="Calibri"/>
          <w:sz w:val="21"/>
        </w:rPr>
        <w:t>Se deconnecter en fin de session, surtout sur un poste partage.</w:t>
      </w:r>
    </w:p>
    <w:tbl>
      <w:tblPr>
        <w:tblStyle w:val="TableGrid"/>
        <w:tblW w:type="auto" w:w="0"/>
        <w:tblLayout w:type="fixed"/>
        <w:tblLook w:firstColumn="1" w:firstRow="1" w:lastColumn="0" w:lastRow="0" w:noHBand="0" w:noVBand="1" w:val="04A0"/>
      </w:tblPr>
      <w:tblGrid>
        <w:gridCol w:w="9072"/>
      </w:tblGrid>
      <w:tr>
        <w:tc>
          <w:tcPr>
            <w:tcW w:type="dxa" w:w="9360"/>
            <w:shd w:fill="FFF4CC"/>
          </w:tcPr>
          <w:p>
            <w:pPr>
              <w:spacing w:after="40"/>
            </w:pPr>
            <w:r>
              <w:rPr>
                <w:b/>
                <w:color w:val="0B2545"/>
                <w:sz w:val="19"/>
              </w:rPr>
              <w:t xml:space="preserve">Securite. </w:t>
            </w:r>
            <w:r>
              <w:rPr>
                <w:rFonts w:ascii="Calibri" w:hAnsi="Calibri"/>
                <w:color w:val="1F2937"/>
                <w:sz w:val="19"/>
              </w:rPr>
              <w:t>Un utilisateur ne doit jamais partager ses identifiants. Toute operation sensible, notamment un paiement ou une regularisation de liquidite, doit rester rattachee au compte de la personne qui l'a enregistree.</w:t>
            </w:r>
          </w:p>
        </w:tc>
      </w:tr>
    </w:tbl>
    <w:p/>
    <w:p>
      <w:pPr>
        <w:pStyle w:val="Heading1"/>
      </w:pPr>
      <w:r>
        <w:t>2. Roles et responsabilites</w:t>
      </w:r>
    </w:p>
    <w:p>
      <w:pPr>
        <w:spacing w:after="160"/>
      </w:pPr>
      <w:r>
        <w:t>Les menus visibles dependent du role connecte. Ce guide couvre principalement l'espace Asset Manager, mais les regles ci-dessous servent de reference pour les controles croises.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40"/>
            </w:pPr>
            <w:r>
              <w:rPr>
                <w:rFonts w:ascii="Calibri" w:hAnsi="Calibri"/>
                <w:b/>
                <w:color w:val="1F2937"/>
                <w:sz w:val="18"/>
              </w:rPr>
            </w:r>
            <w:r>
              <w:rPr>
                <w:rFonts w:ascii="Calibri" w:hAnsi="Calibri"/>
                <w:b/>
                <w:color w:val="1F2937"/>
                <w:sz w:val="18"/>
              </w:rPr>
              <w:t>Role</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Responsabilite principale</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Points de controle</w:t>
            </w:r>
          </w:p>
        </w:tc>
      </w:tr>
      <w:tr>
        <w:tc>
          <w:tcPr>
            <w:tcW w:type="dxa" w:w="3120"/>
            <w:vAlign w:val="center"/>
          </w:tcPr>
          <w:p>
            <w:pPr>
              <w:spacing w:after="40"/>
            </w:pPr>
            <w:r>
              <w:rPr>
                <w:rFonts w:ascii="Calibri" w:hAnsi="Calibri"/>
                <w:sz w:val="18"/>
              </w:rPr>
            </w:r>
            <w:r>
              <w:rPr>
                <w:rFonts w:ascii="Calibri" w:hAnsi="Calibri"/>
                <w:b/>
                <w:color w:val="1F2937"/>
                <w:sz w:val="18"/>
              </w:rPr>
              <w:t>Asset Manager / KAM</w:t>
            </w:r>
          </w:p>
        </w:tc>
        <w:tc>
          <w:tcPr>
            <w:tcW w:type="dxa" w:w="3120"/>
            <w:vAlign w:val="center"/>
          </w:tcPr>
          <w:p>
            <w:pPr>
              <w:spacing w:after="40"/>
            </w:pPr>
            <w:r>
              <w:rPr>
                <w:rFonts w:ascii="Calibri" w:hAnsi="Calibri"/>
                <w:sz w:val="18"/>
              </w:rPr>
            </w:r>
            <w:r>
              <w:rPr>
                <w:rFonts w:ascii="Calibri" w:hAnsi="Calibri"/>
                <w:b w:val="0"/>
                <w:color w:val="1F2937"/>
                <w:sz w:val="18"/>
              </w:rPr>
              <w:t>Suit les clients, placements, portefeuilles et releves.</w:t>
            </w:r>
          </w:p>
        </w:tc>
        <w:tc>
          <w:tcPr>
            <w:tcW w:type="dxa" w:w="3120"/>
            <w:vAlign w:val="center"/>
          </w:tcPr>
          <w:p>
            <w:pPr>
              <w:spacing w:after="40"/>
            </w:pPr>
            <w:r>
              <w:rPr>
                <w:rFonts w:ascii="Calibri" w:hAnsi="Calibri"/>
                <w:sz w:val="18"/>
              </w:rPr>
            </w:r>
            <w:r>
              <w:rPr>
                <w:rFonts w:ascii="Calibri" w:hAnsi="Calibri"/>
                <w:b w:val="0"/>
                <w:color w:val="1F2937"/>
                <w:sz w:val="18"/>
              </w:rPr>
              <w:t>Verifier les montants, echeances, liquidites et releves avant envoi.</w:t>
            </w:r>
          </w:p>
        </w:tc>
      </w:tr>
      <w:tr>
        <w:tc>
          <w:tcPr>
            <w:tcW w:type="dxa" w:w="3120"/>
            <w:vAlign w:val="center"/>
          </w:tcPr>
          <w:p>
            <w:pPr>
              <w:spacing w:after="40"/>
            </w:pPr>
            <w:r>
              <w:rPr>
                <w:rFonts w:ascii="Calibri" w:hAnsi="Calibri"/>
                <w:sz w:val="18"/>
              </w:rPr>
            </w:r>
            <w:r>
              <w:rPr>
                <w:rFonts w:ascii="Calibri" w:hAnsi="Calibri"/>
                <w:b/>
                <w:color w:val="1F2937"/>
                <w:sz w:val="18"/>
              </w:rPr>
              <w:t>Backoffice</w:t>
            </w:r>
          </w:p>
        </w:tc>
        <w:tc>
          <w:tcPr>
            <w:tcW w:type="dxa" w:w="3120"/>
            <w:vAlign w:val="center"/>
          </w:tcPr>
          <w:p>
            <w:pPr>
              <w:spacing w:after="40"/>
            </w:pPr>
            <w:r>
              <w:rPr>
                <w:rFonts w:ascii="Calibri" w:hAnsi="Calibri"/>
                <w:sz w:val="18"/>
              </w:rPr>
            </w:r>
            <w:r>
              <w:rPr>
                <w:rFonts w:ascii="Calibri" w:hAnsi="Calibri"/>
                <w:b w:val="0"/>
                <w:color w:val="1F2937"/>
                <w:sz w:val="18"/>
              </w:rPr>
              <w:t>Enregistre ou valide les operations de gestion.</w:t>
            </w:r>
          </w:p>
        </w:tc>
        <w:tc>
          <w:tcPr>
            <w:tcW w:type="dxa" w:w="3120"/>
            <w:vAlign w:val="center"/>
          </w:tcPr>
          <w:p>
            <w:pPr>
              <w:spacing w:after="40"/>
            </w:pPr>
            <w:r>
              <w:rPr>
                <w:rFonts w:ascii="Calibri" w:hAnsi="Calibri"/>
                <w:sz w:val="18"/>
              </w:rPr>
            </w:r>
            <w:r>
              <w:rPr>
                <w:rFonts w:ascii="Calibri" w:hAnsi="Calibri"/>
                <w:b w:val="0"/>
                <w:color w:val="1F2937"/>
                <w:sz w:val="18"/>
              </w:rPr>
              <w:t>Controler les dates, pieces justificatives et references de paiement.</w:t>
            </w:r>
          </w:p>
        </w:tc>
      </w:tr>
      <w:tr>
        <w:tc>
          <w:tcPr>
            <w:tcW w:type="dxa" w:w="3120"/>
            <w:vAlign w:val="center"/>
          </w:tcPr>
          <w:p>
            <w:pPr>
              <w:spacing w:after="40"/>
            </w:pPr>
            <w:r>
              <w:rPr>
                <w:rFonts w:ascii="Calibri" w:hAnsi="Calibri"/>
                <w:sz w:val="18"/>
              </w:rPr>
            </w:r>
            <w:r>
              <w:rPr>
                <w:rFonts w:ascii="Calibri" w:hAnsi="Calibri"/>
                <w:b/>
                <w:color w:val="1F2937"/>
                <w:sz w:val="18"/>
              </w:rPr>
              <w:t>Client</w:t>
            </w:r>
          </w:p>
        </w:tc>
        <w:tc>
          <w:tcPr>
            <w:tcW w:type="dxa" w:w="3120"/>
            <w:vAlign w:val="center"/>
          </w:tcPr>
          <w:p>
            <w:pPr>
              <w:spacing w:after="40"/>
            </w:pPr>
            <w:r>
              <w:rPr>
                <w:rFonts w:ascii="Calibri" w:hAnsi="Calibri"/>
                <w:sz w:val="18"/>
              </w:rPr>
            </w:r>
            <w:r>
              <w:rPr>
                <w:rFonts w:ascii="Calibri" w:hAnsi="Calibri"/>
                <w:b w:val="0"/>
                <w:color w:val="1F2937"/>
                <w:sz w:val="18"/>
              </w:rPr>
              <w:t>Consulte son portefeuille, ses releves et ses liquidites.</w:t>
            </w:r>
          </w:p>
        </w:tc>
        <w:tc>
          <w:tcPr>
            <w:tcW w:type="dxa" w:w="3120"/>
            <w:vAlign w:val="center"/>
          </w:tcPr>
          <w:p>
            <w:pPr>
              <w:spacing w:after="40"/>
            </w:pPr>
            <w:r>
              <w:rPr>
                <w:rFonts w:ascii="Calibri" w:hAnsi="Calibri"/>
                <w:sz w:val="18"/>
              </w:rPr>
            </w:r>
            <w:r>
              <w:rPr>
                <w:rFonts w:ascii="Calibri" w:hAnsi="Calibri"/>
                <w:b w:val="0"/>
                <w:color w:val="1F2937"/>
                <w:sz w:val="18"/>
              </w:rPr>
              <w:t>Les informations affichees doivent etre coherentes avec les operations validees.</w:t>
            </w:r>
          </w:p>
        </w:tc>
      </w:tr>
      <w:tr>
        <w:tc>
          <w:tcPr>
            <w:tcW w:type="dxa" w:w="3120"/>
            <w:vAlign w:val="center"/>
          </w:tcPr>
          <w:p>
            <w:pPr>
              <w:spacing w:after="40"/>
            </w:pPr>
            <w:r>
              <w:rPr>
                <w:rFonts w:ascii="Calibri" w:hAnsi="Calibri"/>
                <w:sz w:val="18"/>
              </w:rPr>
            </w:r>
            <w:r>
              <w:rPr>
                <w:rFonts w:ascii="Calibri" w:hAnsi="Calibri"/>
                <w:b/>
                <w:color w:val="1F2937"/>
                <w:sz w:val="18"/>
              </w:rPr>
              <w:t>Administrateur</w:t>
            </w:r>
          </w:p>
        </w:tc>
        <w:tc>
          <w:tcPr>
            <w:tcW w:type="dxa" w:w="3120"/>
            <w:vAlign w:val="center"/>
          </w:tcPr>
          <w:p>
            <w:pPr>
              <w:spacing w:after="40"/>
            </w:pPr>
            <w:r>
              <w:rPr>
                <w:rFonts w:ascii="Calibri" w:hAnsi="Calibri"/>
                <w:sz w:val="18"/>
              </w:rPr>
            </w:r>
            <w:r>
              <w:rPr>
                <w:rFonts w:ascii="Calibri" w:hAnsi="Calibri"/>
                <w:b w:val="0"/>
                <w:color w:val="1F2937"/>
                <w:sz w:val="18"/>
              </w:rPr>
              <w:t>Gere les acces, profils et parametrages.</w:t>
            </w:r>
          </w:p>
        </w:tc>
        <w:tc>
          <w:tcPr>
            <w:tcW w:type="dxa" w:w="3120"/>
            <w:vAlign w:val="center"/>
          </w:tcPr>
          <w:p>
            <w:pPr>
              <w:spacing w:after="40"/>
            </w:pPr>
            <w:r>
              <w:rPr>
                <w:rFonts w:ascii="Calibri" w:hAnsi="Calibri"/>
                <w:sz w:val="18"/>
              </w:rPr>
            </w:r>
            <w:r>
              <w:rPr>
                <w:rFonts w:ascii="Calibri" w:hAnsi="Calibri"/>
                <w:b w:val="0"/>
                <w:color w:val="1F2937"/>
                <w:sz w:val="18"/>
              </w:rPr>
              <w:t>Limiter les droits au besoin reel et auditer les comptes actifs.</w:t>
            </w:r>
          </w:p>
        </w:tc>
      </w:tr>
    </w:tbl>
    <w:p>
      <w:pPr>
        <w:pStyle w:val="Heading2"/>
      </w:pPr>
      <w:r>
        <w:t>Cartographie des espaces de la plateforme</w:t>
      </w:r>
    </w:p>
    <w:p>
      <w:pPr>
        <w:spacing w:after="120"/>
      </w:pPr>
      <w:r>
        <w:t>Les routes du projet montrent plusieurs espaces fonctionnels. L'acces a chaque espace depend des permissions attribuees a l'utilisateur connecte.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vAlign w:val="center"/>
            <w:shd w:fill="E8EEF5"/>
          </w:tcPr>
          <w:p>
            <w:pPr>
              <w:spacing w:after="40"/>
            </w:pPr>
            <w:r>
              <w:rPr>
                <w:rFonts w:ascii="Calibri" w:hAnsi="Calibri"/>
                <w:b/>
                <w:color w:val="1F2937"/>
                <w:sz w:val="18"/>
              </w:rPr>
            </w:r>
            <w:r>
              <w:rPr>
                <w:rFonts w:ascii="Calibri" w:hAnsi="Calibri"/>
                <w:b/>
                <w:color w:val="1F2937"/>
                <w:sz w:val="18"/>
              </w:rPr>
              <w:t>Espace</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Acces principal</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Utilisation</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Utilisateurs concernes</w:t>
            </w:r>
          </w:p>
        </w:tc>
      </w:tr>
      <w:tr>
        <w:tc>
          <w:tcPr>
            <w:tcW w:type="dxa" w:w="2340"/>
            <w:vAlign w:val="center"/>
          </w:tcPr>
          <w:p>
            <w:pPr>
              <w:spacing w:after="40"/>
            </w:pPr>
            <w:r>
              <w:rPr>
                <w:rFonts w:ascii="Calibri" w:hAnsi="Calibri"/>
                <w:sz w:val="18"/>
              </w:rPr>
            </w:r>
            <w:r>
              <w:rPr>
                <w:rFonts w:ascii="Calibri" w:hAnsi="Calibri"/>
                <w:b/>
                <w:color w:val="1F2937"/>
                <w:sz w:val="18"/>
              </w:rPr>
              <w:t>Portail client</w:t>
            </w:r>
          </w:p>
        </w:tc>
        <w:tc>
          <w:tcPr>
            <w:tcW w:type="dxa" w:w="2340"/>
            <w:vAlign w:val="center"/>
          </w:tcPr>
          <w:p>
            <w:pPr>
              <w:spacing w:after="40"/>
            </w:pPr>
            <w:r>
              <w:rPr>
                <w:rFonts w:ascii="Calibri" w:hAnsi="Calibri"/>
                <w:sz w:val="18"/>
              </w:rPr>
            </w:r>
            <w:r>
              <w:rPr>
                <w:rFonts w:ascii="Calibri" w:hAnsi="Calibri"/>
                <w:b w:val="0"/>
                <w:color w:val="1F2937"/>
                <w:sz w:val="18"/>
              </w:rPr>
              <w:t>/dashboard, /my-products, /my-statements</w:t>
            </w:r>
          </w:p>
        </w:tc>
        <w:tc>
          <w:tcPr>
            <w:tcW w:type="dxa" w:w="2340"/>
            <w:vAlign w:val="center"/>
          </w:tcPr>
          <w:p>
            <w:pPr>
              <w:spacing w:after="40"/>
            </w:pPr>
            <w:r>
              <w:rPr>
                <w:rFonts w:ascii="Calibri" w:hAnsi="Calibri"/>
                <w:sz w:val="18"/>
              </w:rPr>
            </w:r>
            <w:r>
              <w:rPr>
                <w:rFonts w:ascii="Calibri" w:hAnsi="Calibri"/>
                <w:b w:val="0"/>
                <w:color w:val="1F2937"/>
                <w:sz w:val="18"/>
              </w:rPr>
              <w:t>Consultation portefeuille, produits, historiques et releves.</w:t>
            </w:r>
          </w:p>
        </w:tc>
        <w:tc>
          <w:tcPr>
            <w:tcW w:type="dxa" w:w="2340"/>
            <w:vAlign w:val="center"/>
          </w:tcPr>
          <w:p>
            <w:pPr>
              <w:spacing w:after="40"/>
            </w:pPr>
            <w:r>
              <w:rPr>
                <w:rFonts w:ascii="Calibri" w:hAnsi="Calibri"/>
                <w:sz w:val="18"/>
              </w:rPr>
            </w:r>
            <w:r>
              <w:rPr>
                <w:rFonts w:ascii="Calibri" w:hAnsi="Calibri"/>
                <w:b w:val="0"/>
                <w:color w:val="1F2937"/>
                <w:sz w:val="18"/>
              </w:rPr>
              <w:t>Clients</w:t>
            </w:r>
          </w:p>
        </w:tc>
      </w:tr>
      <w:tr>
        <w:tc>
          <w:tcPr>
            <w:tcW w:type="dxa" w:w="2340"/>
            <w:vAlign w:val="center"/>
          </w:tcPr>
          <w:p>
            <w:pPr>
              <w:spacing w:after="40"/>
            </w:pPr>
            <w:r>
              <w:rPr>
                <w:rFonts w:ascii="Calibri" w:hAnsi="Calibri"/>
                <w:sz w:val="18"/>
              </w:rPr>
            </w:r>
            <w:r>
              <w:rPr>
                <w:rFonts w:ascii="Calibri" w:hAnsi="Calibri"/>
                <w:b/>
                <w:color w:val="1F2937"/>
                <w:sz w:val="18"/>
              </w:rPr>
              <w:t>Asset Manager</w:t>
            </w:r>
          </w:p>
        </w:tc>
        <w:tc>
          <w:tcPr>
            <w:tcW w:type="dxa" w:w="2340"/>
            <w:vAlign w:val="center"/>
          </w:tcPr>
          <w:p>
            <w:pPr>
              <w:spacing w:after="40"/>
            </w:pPr>
            <w:r>
              <w:rPr>
                <w:rFonts w:ascii="Calibri" w:hAnsi="Calibri"/>
                <w:sz w:val="18"/>
              </w:rPr>
            </w:r>
            <w:r>
              <w:rPr>
                <w:rFonts w:ascii="Calibri" w:hAnsi="Calibri"/>
                <w:b w:val="0"/>
                <w:color w:val="1F2937"/>
                <w:sz w:val="18"/>
              </w:rPr>
              <w:t>/asset-manager</w:t>
            </w:r>
          </w:p>
        </w:tc>
        <w:tc>
          <w:tcPr>
            <w:tcW w:type="dxa" w:w="2340"/>
            <w:vAlign w:val="center"/>
          </w:tcPr>
          <w:p>
            <w:pPr>
              <w:spacing w:after="40"/>
            </w:pPr>
            <w:r>
              <w:rPr>
                <w:rFonts w:ascii="Calibri" w:hAnsi="Calibri"/>
                <w:sz w:val="18"/>
              </w:rPr>
            </w:r>
            <w:r>
              <w:rPr>
                <w:rFonts w:ascii="Calibri" w:hAnsi="Calibri"/>
                <w:b w:val="0"/>
                <w:color w:val="1F2937"/>
                <w:sz w:val="18"/>
              </w:rPr>
              <w:t>Gestion clients, placements, transactions, VL et releves.</w:t>
            </w:r>
          </w:p>
        </w:tc>
        <w:tc>
          <w:tcPr>
            <w:tcW w:type="dxa" w:w="2340"/>
            <w:vAlign w:val="center"/>
          </w:tcPr>
          <w:p>
            <w:pPr>
              <w:spacing w:after="40"/>
            </w:pPr>
            <w:r>
              <w:rPr>
                <w:rFonts w:ascii="Calibri" w:hAnsi="Calibri"/>
                <w:sz w:val="18"/>
              </w:rPr>
            </w:r>
            <w:r>
              <w:rPr>
                <w:rFonts w:ascii="Calibri" w:hAnsi="Calibri"/>
                <w:b w:val="0"/>
                <w:color w:val="1F2937"/>
                <w:sz w:val="18"/>
              </w:rPr>
              <w:t>KAM / Asset managers</w:t>
            </w:r>
          </w:p>
        </w:tc>
      </w:tr>
      <w:tr>
        <w:tc>
          <w:tcPr>
            <w:tcW w:type="dxa" w:w="2340"/>
            <w:vAlign w:val="center"/>
          </w:tcPr>
          <w:p>
            <w:pPr>
              <w:spacing w:after="40"/>
            </w:pPr>
            <w:r>
              <w:rPr>
                <w:rFonts w:ascii="Calibri" w:hAnsi="Calibri"/>
                <w:sz w:val="18"/>
              </w:rPr>
            </w:r>
            <w:r>
              <w:rPr>
                <w:rFonts w:ascii="Calibri" w:hAnsi="Calibri"/>
                <w:b/>
                <w:color w:val="1F2937"/>
                <w:sz w:val="18"/>
              </w:rPr>
              <w:t>Compliance</w:t>
            </w:r>
          </w:p>
        </w:tc>
        <w:tc>
          <w:tcPr>
            <w:tcW w:type="dxa" w:w="2340"/>
            <w:vAlign w:val="center"/>
          </w:tcPr>
          <w:p>
            <w:pPr>
              <w:spacing w:after="40"/>
            </w:pPr>
            <w:r>
              <w:rPr>
                <w:rFonts w:ascii="Calibri" w:hAnsi="Calibri"/>
                <w:sz w:val="18"/>
              </w:rPr>
            </w:r>
            <w:r>
              <w:rPr>
                <w:rFonts w:ascii="Calibri" w:hAnsi="Calibri"/>
                <w:b w:val="0"/>
                <w:color w:val="1F2937"/>
                <w:sz w:val="18"/>
              </w:rPr>
              <w:t>/compliance</w:t>
            </w:r>
          </w:p>
        </w:tc>
        <w:tc>
          <w:tcPr>
            <w:tcW w:type="dxa" w:w="2340"/>
            <w:vAlign w:val="center"/>
          </w:tcPr>
          <w:p>
            <w:pPr>
              <w:spacing w:after="40"/>
            </w:pPr>
            <w:r>
              <w:rPr>
                <w:rFonts w:ascii="Calibri" w:hAnsi="Calibri"/>
                <w:sz w:val="18"/>
              </w:rPr>
            </w:r>
            <w:r>
              <w:rPr>
                <w:rFonts w:ascii="Calibri" w:hAnsi="Calibri"/>
                <w:b w:val="0"/>
                <w:color w:val="1F2937"/>
                <w:sz w:val="18"/>
              </w:rPr>
              <w:t>Controle clients, audit portefeuille, historique VL et releves.</w:t>
            </w:r>
          </w:p>
        </w:tc>
        <w:tc>
          <w:tcPr>
            <w:tcW w:type="dxa" w:w="2340"/>
            <w:vAlign w:val="center"/>
          </w:tcPr>
          <w:p>
            <w:pPr>
              <w:spacing w:after="40"/>
            </w:pPr>
            <w:r>
              <w:rPr>
                <w:rFonts w:ascii="Calibri" w:hAnsi="Calibri"/>
                <w:sz w:val="18"/>
              </w:rPr>
            </w:r>
            <w:r>
              <w:rPr>
                <w:rFonts w:ascii="Calibri" w:hAnsi="Calibri"/>
                <w:b w:val="0"/>
                <w:color w:val="1F2937"/>
                <w:sz w:val="18"/>
              </w:rPr>
              <w:t>Conformite</w:t>
            </w:r>
          </w:p>
        </w:tc>
      </w:tr>
      <w:tr>
        <w:tc>
          <w:tcPr>
            <w:tcW w:type="dxa" w:w="2340"/>
            <w:vAlign w:val="center"/>
          </w:tcPr>
          <w:p>
            <w:pPr>
              <w:spacing w:after="40"/>
            </w:pPr>
            <w:r>
              <w:rPr>
                <w:rFonts w:ascii="Calibri" w:hAnsi="Calibri"/>
                <w:sz w:val="18"/>
              </w:rPr>
            </w:r>
            <w:r>
              <w:rPr>
                <w:rFonts w:ascii="Calibri" w:hAnsi="Calibri"/>
                <w:b/>
                <w:color w:val="1F2937"/>
                <w:sz w:val="18"/>
              </w:rPr>
              <w:t>Backoffice</w:t>
            </w:r>
          </w:p>
        </w:tc>
        <w:tc>
          <w:tcPr>
            <w:tcW w:type="dxa" w:w="2340"/>
            <w:vAlign w:val="center"/>
          </w:tcPr>
          <w:p>
            <w:pPr>
              <w:spacing w:after="40"/>
            </w:pPr>
            <w:r>
              <w:rPr>
                <w:rFonts w:ascii="Calibri" w:hAnsi="Calibri"/>
                <w:sz w:val="18"/>
              </w:rPr>
            </w:r>
            <w:r>
              <w:rPr>
                <w:rFonts w:ascii="Calibri" w:hAnsi="Calibri"/>
                <w:b w:val="0"/>
                <w:color w:val="1F2937"/>
                <w:sz w:val="18"/>
              </w:rPr>
              <w:t>/backoffice</w:t>
            </w:r>
          </w:p>
        </w:tc>
        <w:tc>
          <w:tcPr>
            <w:tcW w:type="dxa" w:w="2340"/>
            <w:vAlign w:val="center"/>
          </w:tcPr>
          <w:p>
            <w:pPr>
              <w:spacing w:after="40"/>
            </w:pPr>
            <w:r>
              <w:rPr>
                <w:rFonts w:ascii="Calibri" w:hAnsi="Calibri"/>
                <w:sz w:val="18"/>
              </w:rPr>
            </w:r>
            <w:r>
              <w:rPr>
                <w:rFonts w:ascii="Calibri" w:hAnsi="Calibri"/>
                <w:b w:val="0"/>
                <w:color w:val="1F2937"/>
                <w:sz w:val="18"/>
              </w:rPr>
              <w:t>Suivi et validation des transactions.</w:t>
            </w:r>
          </w:p>
        </w:tc>
        <w:tc>
          <w:tcPr>
            <w:tcW w:type="dxa" w:w="2340"/>
            <w:vAlign w:val="center"/>
          </w:tcPr>
          <w:p>
            <w:pPr>
              <w:spacing w:after="40"/>
            </w:pPr>
            <w:r>
              <w:rPr>
                <w:rFonts w:ascii="Calibri" w:hAnsi="Calibri"/>
                <w:sz w:val="18"/>
              </w:rPr>
            </w:r>
            <w:r>
              <w:rPr>
                <w:rFonts w:ascii="Calibri" w:hAnsi="Calibri"/>
                <w:b w:val="0"/>
                <w:color w:val="1F2937"/>
                <w:sz w:val="18"/>
              </w:rPr>
              <w:t>Backoffice / validateurs</w:t>
            </w:r>
          </w:p>
        </w:tc>
      </w:tr>
      <w:tr>
        <w:tc>
          <w:tcPr>
            <w:tcW w:type="dxa" w:w="2340"/>
            <w:vAlign w:val="center"/>
          </w:tcPr>
          <w:p>
            <w:pPr>
              <w:spacing w:after="40"/>
            </w:pPr>
            <w:r>
              <w:rPr>
                <w:rFonts w:ascii="Calibri" w:hAnsi="Calibri"/>
                <w:sz w:val="18"/>
              </w:rPr>
            </w:r>
            <w:r>
              <w:rPr>
                <w:rFonts w:ascii="Calibri" w:hAnsi="Calibri"/>
                <w:b/>
                <w:color w:val="1F2937"/>
                <w:sz w:val="18"/>
              </w:rPr>
              <w:t>Direction Generale</w:t>
            </w:r>
          </w:p>
        </w:tc>
        <w:tc>
          <w:tcPr>
            <w:tcW w:type="dxa" w:w="2340"/>
            <w:vAlign w:val="center"/>
          </w:tcPr>
          <w:p>
            <w:pPr>
              <w:spacing w:after="40"/>
            </w:pPr>
            <w:r>
              <w:rPr>
                <w:rFonts w:ascii="Calibri" w:hAnsi="Calibri"/>
                <w:sz w:val="18"/>
              </w:rPr>
            </w:r>
            <w:r>
              <w:rPr>
                <w:rFonts w:ascii="Calibri" w:hAnsi="Calibri"/>
                <w:b w:val="0"/>
                <w:color w:val="1F2937"/>
                <w:sz w:val="18"/>
              </w:rPr>
              <w:t>/dg</w:t>
            </w:r>
          </w:p>
        </w:tc>
        <w:tc>
          <w:tcPr>
            <w:tcW w:type="dxa" w:w="2340"/>
            <w:vAlign w:val="center"/>
          </w:tcPr>
          <w:p>
            <w:pPr>
              <w:spacing w:after="40"/>
            </w:pPr>
            <w:r>
              <w:rPr>
                <w:rFonts w:ascii="Calibri" w:hAnsi="Calibri"/>
                <w:sz w:val="18"/>
              </w:rPr>
            </w:r>
            <w:r>
              <w:rPr>
                <w:rFonts w:ascii="Calibri" w:hAnsi="Calibri"/>
                <w:b w:val="0"/>
                <w:color w:val="1F2937"/>
                <w:sz w:val="18"/>
              </w:rPr>
              <w:t>Vue de pilotage et historique des campagnes de releves.</w:t>
            </w:r>
          </w:p>
        </w:tc>
        <w:tc>
          <w:tcPr>
            <w:tcW w:type="dxa" w:w="2340"/>
            <w:vAlign w:val="center"/>
          </w:tcPr>
          <w:p>
            <w:pPr>
              <w:spacing w:after="40"/>
            </w:pPr>
            <w:r>
              <w:rPr>
                <w:rFonts w:ascii="Calibri" w:hAnsi="Calibri"/>
                <w:sz w:val="18"/>
              </w:rPr>
            </w:r>
            <w:r>
              <w:rPr>
                <w:rFonts w:ascii="Calibri" w:hAnsi="Calibri"/>
                <w:b w:val="0"/>
                <w:color w:val="1F2937"/>
                <w:sz w:val="18"/>
              </w:rPr>
              <w:t>DG</w:t>
            </w:r>
          </w:p>
        </w:tc>
      </w:tr>
      <w:tr>
        <w:tc>
          <w:tcPr>
            <w:tcW w:type="dxa" w:w="2340"/>
            <w:vAlign w:val="center"/>
          </w:tcPr>
          <w:p>
            <w:pPr>
              <w:spacing w:after="40"/>
            </w:pPr>
            <w:r>
              <w:rPr>
                <w:rFonts w:ascii="Calibri" w:hAnsi="Calibri"/>
                <w:sz w:val="18"/>
              </w:rPr>
            </w:r>
            <w:r>
              <w:rPr>
                <w:rFonts w:ascii="Calibri" w:hAnsi="Calibri"/>
                <w:b/>
                <w:color w:val="1F2937"/>
                <w:sz w:val="18"/>
              </w:rPr>
              <w:t>Admin Frontend</w:t>
            </w:r>
          </w:p>
        </w:tc>
        <w:tc>
          <w:tcPr>
            <w:tcW w:type="dxa" w:w="2340"/>
            <w:vAlign w:val="center"/>
          </w:tcPr>
          <w:p>
            <w:pPr>
              <w:spacing w:after="40"/>
            </w:pPr>
            <w:r>
              <w:rPr>
                <w:rFonts w:ascii="Calibri" w:hAnsi="Calibri"/>
                <w:sz w:val="18"/>
              </w:rPr>
            </w:r>
            <w:r>
              <w:rPr>
                <w:rFonts w:ascii="Calibri" w:hAnsi="Calibri"/>
                <w:b w:val="0"/>
                <w:color w:val="1F2937"/>
                <w:sz w:val="18"/>
              </w:rPr>
              <w:t>/admin-front</w:t>
            </w:r>
          </w:p>
        </w:tc>
        <w:tc>
          <w:tcPr>
            <w:tcW w:type="dxa" w:w="2340"/>
            <w:vAlign w:val="center"/>
          </w:tcPr>
          <w:p>
            <w:pPr>
              <w:spacing w:after="40"/>
            </w:pPr>
            <w:r>
              <w:rPr>
                <w:rFonts w:ascii="Calibri" w:hAnsi="Calibri"/>
                <w:sz w:val="18"/>
              </w:rPr>
            </w:r>
            <w:r>
              <w:rPr>
                <w:rFonts w:ascii="Calibri" w:hAnsi="Calibri"/>
                <w:b w:val="0"/>
                <w:color w:val="1F2937"/>
                <w:sz w:val="18"/>
              </w:rPr>
              <w:t>Gestion utilisateurs, menus et logs d'activite.</w:t>
            </w:r>
          </w:p>
        </w:tc>
        <w:tc>
          <w:tcPr>
            <w:tcW w:type="dxa" w:w="2340"/>
            <w:vAlign w:val="center"/>
          </w:tcPr>
          <w:p>
            <w:pPr>
              <w:spacing w:after="40"/>
            </w:pPr>
            <w:r>
              <w:rPr>
                <w:rFonts w:ascii="Calibri" w:hAnsi="Calibri"/>
                <w:sz w:val="18"/>
              </w:rPr>
            </w:r>
            <w:r>
              <w:rPr>
                <w:rFonts w:ascii="Calibri" w:hAnsi="Calibri"/>
                <w:b w:val="0"/>
                <w:color w:val="1F2937"/>
                <w:sz w:val="18"/>
              </w:rPr>
              <w:t>Administrateurs</w:t>
            </w:r>
          </w:p>
        </w:tc>
      </w:tr>
      <w:tr>
        <w:tc>
          <w:tcPr>
            <w:tcW w:type="dxa" w:w="2340"/>
            <w:vAlign w:val="center"/>
          </w:tcPr>
          <w:p>
            <w:pPr>
              <w:spacing w:after="40"/>
            </w:pPr>
            <w:r>
              <w:rPr>
                <w:rFonts w:ascii="Calibri" w:hAnsi="Calibri"/>
                <w:sz w:val="18"/>
              </w:rPr>
            </w:r>
            <w:r>
              <w:rPr>
                <w:rFonts w:ascii="Calibri" w:hAnsi="Calibri"/>
                <w:b/>
                <w:color w:val="1F2937"/>
                <w:sz w:val="18"/>
              </w:rPr>
              <w:t>CRM</w:t>
            </w:r>
          </w:p>
        </w:tc>
        <w:tc>
          <w:tcPr>
            <w:tcW w:type="dxa" w:w="2340"/>
            <w:vAlign w:val="center"/>
          </w:tcPr>
          <w:p>
            <w:pPr>
              <w:spacing w:after="40"/>
            </w:pPr>
            <w:r>
              <w:rPr>
                <w:rFonts w:ascii="Calibri" w:hAnsi="Calibri"/>
                <w:sz w:val="18"/>
              </w:rPr>
            </w:r>
            <w:r>
              <w:rPr>
                <w:rFonts w:ascii="Calibri" w:hAnsi="Calibri"/>
                <w:b w:val="0"/>
                <w:color w:val="1F2937"/>
                <w:sz w:val="18"/>
              </w:rPr>
              <w:t>/crm</w:t>
            </w:r>
          </w:p>
        </w:tc>
        <w:tc>
          <w:tcPr>
            <w:tcW w:type="dxa" w:w="2340"/>
            <w:vAlign w:val="center"/>
          </w:tcPr>
          <w:p>
            <w:pPr>
              <w:spacing w:after="40"/>
            </w:pPr>
            <w:r>
              <w:rPr>
                <w:rFonts w:ascii="Calibri" w:hAnsi="Calibri"/>
                <w:sz w:val="18"/>
              </w:rPr>
            </w:r>
            <w:r>
              <w:rPr>
                <w:rFonts w:ascii="Calibri" w:hAnsi="Calibri"/>
                <w:b w:val="0"/>
                <w:color w:val="1F2937"/>
                <w:sz w:val="18"/>
              </w:rPr>
              <w:t>Prospects, statuts commerciaux et conversion en clients.</w:t>
            </w:r>
          </w:p>
        </w:tc>
        <w:tc>
          <w:tcPr>
            <w:tcW w:type="dxa" w:w="2340"/>
            <w:vAlign w:val="center"/>
          </w:tcPr>
          <w:p>
            <w:pPr>
              <w:spacing w:after="40"/>
            </w:pPr>
            <w:r>
              <w:rPr>
                <w:rFonts w:ascii="Calibri" w:hAnsi="Calibri"/>
                <w:sz w:val="18"/>
              </w:rPr>
            </w:r>
            <w:r>
              <w:rPr>
                <w:rFonts w:ascii="Calibri" w:hAnsi="Calibri"/>
                <w:b w:val="0"/>
                <w:color w:val="1F2937"/>
                <w:sz w:val="18"/>
              </w:rPr>
              <w:t>Equipe commerciale</w:t>
            </w:r>
          </w:p>
        </w:tc>
      </w:tr>
      <w:tr>
        <w:tc>
          <w:tcPr>
            <w:tcW w:type="dxa" w:w="2340"/>
            <w:vAlign w:val="center"/>
          </w:tcPr>
          <w:p>
            <w:pPr>
              <w:spacing w:after="40"/>
            </w:pPr>
            <w:r>
              <w:rPr>
                <w:rFonts w:ascii="Calibri" w:hAnsi="Calibri"/>
                <w:sz w:val="18"/>
              </w:rPr>
            </w:r>
            <w:r>
              <w:rPr>
                <w:rFonts w:ascii="Calibri" w:hAnsi="Calibri"/>
                <w:b/>
                <w:color w:val="1F2937"/>
                <w:sz w:val="18"/>
              </w:rPr>
              <w:t>Admin technique</w:t>
            </w:r>
          </w:p>
        </w:tc>
        <w:tc>
          <w:tcPr>
            <w:tcW w:type="dxa" w:w="2340"/>
            <w:vAlign w:val="center"/>
          </w:tcPr>
          <w:p>
            <w:pPr>
              <w:spacing w:after="40"/>
            </w:pPr>
            <w:r>
              <w:rPr>
                <w:rFonts w:ascii="Calibri" w:hAnsi="Calibri"/>
                <w:sz w:val="18"/>
              </w:rPr>
            </w:r>
            <w:r>
              <w:rPr>
                <w:rFonts w:ascii="Calibri" w:hAnsi="Calibri"/>
                <w:b w:val="0"/>
                <w:color w:val="1F2937"/>
                <w:sz w:val="18"/>
              </w:rPr>
              <w:t>/admin</w:t>
            </w:r>
          </w:p>
        </w:tc>
        <w:tc>
          <w:tcPr>
            <w:tcW w:type="dxa" w:w="2340"/>
            <w:vAlign w:val="center"/>
          </w:tcPr>
          <w:p>
            <w:pPr>
              <w:spacing w:after="40"/>
            </w:pPr>
            <w:r>
              <w:rPr>
                <w:rFonts w:ascii="Calibri" w:hAnsi="Calibri"/>
                <w:sz w:val="18"/>
              </w:rPr>
            </w:r>
            <w:r>
              <w:rPr>
                <w:rFonts w:ascii="Calibri" w:hAnsi="Calibri"/>
                <w:b w:val="0"/>
                <w:color w:val="1F2937"/>
                <w:sz w:val="18"/>
              </w:rPr>
              <w:t>Administration Voyager/back-office technique.</w:t>
            </w:r>
          </w:p>
        </w:tc>
        <w:tc>
          <w:tcPr>
            <w:tcW w:type="dxa" w:w="2340"/>
            <w:vAlign w:val="center"/>
          </w:tcPr>
          <w:p>
            <w:pPr>
              <w:spacing w:after="40"/>
            </w:pPr>
            <w:r>
              <w:rPr>
                <w:rFonts w:ascii="Calibri" w:hAnsi="Calibri"/>
                <w:sz w:val="18"/>
              </w:rPr>
            </w:r>
            <w:r>
              <w:rPr>
                <w:rFonts w:ascii="Calibri" w:hAnsi="Calibri"/>
                <w:b w:val="0"/>
                <w:color w:val="1F2937"/>
                <w:sz w:val="18"/>
              </w:rPr>
              <w:t>Administrateurs techniques</w:t>
            </w:r>
          </w:p>
        </w:tc>
      </w:tr>
    </w:tbl>
    <w:p>
      <w:pPr>
        <w:pStyle w:val="Heading1"/>
      </w:pPr>
      <w:r>
        <w:t>3. Navigation Asset Manager</w:t>
      </w:r>
    </w:p>
    <w:p>
      <w:pPr>
        <w:spacing w:after="160"/>
      </w:pPr>
      <w:r>
        <w:t>La navigation laterale permet d'acceder aux principales fonctions: tableau de bord, clients, creation client, valeurs liquidatives et deconnexion. Les boutons en haut de certaines pages donnent acces aux transactions, aux historiques et aux releves.</w:t>
      </w:r>
    </w:p>
    <w:p>
      <w:pPr>
        <w:spacing w:before="80" w:after="40"/>
        <w:jc w:val="center"/>
      </w:pPr>
      <w:r>
        <w:drawing>
          <wp:inline xmlns:a="http://schemas.openxmlformats.org/drawingml/2006/main" xmlns:pic="http://schemas.openxmlformats.org/drawingml/2006/picture">
            <wp:extent cx="5806440" cy="3266920"/>
            <wp:docPr id="3" name="Picture 3"/>
            <wp:cNvGraphicFramePr>
              <a:graphicFrameLocks noChangeAspect="1"/>
            </wp:cNvGraphicFramePr>
            <a:graphic>
              <a:graphicData uri="http://schemas.openxmlformats.org/drawingml/2006/picture">
                <pic:pic>
                  <pic:nvPicPr>
                    <pic:cNvPr id="0" name="02-dashboard-asset-manager.png"/>
                    <pic:cNvPicPr/>
                  </pic:nvPicPr>
                  <pic:blipFill>
                    <a:blip r:embed="rId13"/>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Tableau de bord Asset Manager.</w:t>
      </w:r>
    </w:p>
    <w:p>
      <w:pPr>
        <w:pStyle w:val="ListBullet"/>
        <w:spacing w:after="80"/>
      </w:pPr>
      <w:r>
        <w:rPr>
          <w:rFonts w:ascii="Calibri" w:hAnsi="Calibri"/>
          <w:sz w:val="21"/>
        </w:rPr>
        <w:t>Tableau de bord: synthese des encours, gains, clients actifs et alertes.</w:t>
      </w:r>
    </w:p>
    <w:p>
      <w:pPr>
        <w:pStyle w:val="ListBullet"/>
        <w:spacing w:after="80"/>
      </w:pPr>
      <w:r>
        <w:rPr>
          <w:rFonts w:ascii="Calibri" w:hAnsi="Calibri"/>
          <w:sz w:val="21"/>
        </w:rPr>
        <w:t>Clients: consultation de la base client, filtrage par type de produit et acces aux details.</w:t>
      </w:r>
    </w:p>
    <w:p>
      <w:pPr>
        <w:pStyle w:val="ListBullet"/>
        <w:spacing w:after="80"/>
      </w:pPr>
      <w:r>
        <w:rPr>
          <w:rFonts w:ascii="Calibri" w:hAnsi="Calibri"/>
          <w:sz w:val="21"/>
        </w:rPr>
        <w:t>Creer un client: creation d'un nouveau compte et des informations d'identification.</w:t>
      </w:r>
    </w:p>
    <w:p>
      <w:pPr>
        <w:pStyle w:val="ListBullet"/>
        <w:spacing w:after="80"/>
      </w:pPr>
      <w:r>
        <w:rPr>
          <w:rFonts w:ascii="Calibri" w:hAnsi="Calibri"/>
          <w:sz w:val="21"/>
        </w:rPr>
        <w:t>Valeurs Liquidatives: saisie et controle des VL utilisees pour les produits FCP.</w:t>
      </w:r>
    </w:p>
    <w:p>
      <w:pPr>
        <w:pStyle w:val="ListBullet"/>
        <w:spacing w:after="80"/>
      </w:pPr>
      <w:r>
        <w:rPr>
          <w:rFonts w:ascii="Calibri" w:hAnsi="Calibri"/>
          <w:sz w:val="21"/>
        </w:rPr>
        <w:t>Transactions et historiques: suivi des operations d'un client ou d'un produit.</w:t>
      </w:r>
    </w:p>
    <w:p>
      <w:pPr>
        <w:pStyle w:val="Heading1"/>
      </w:pPr>
      <w:r>
        <w:t>4. Tableau de bord et indicateurs</w:t>
      </w:r>
    </w:p>
    <w:p>
      <w:pPr>
        <w:spacing w:after="160"/>
      </w:pPr>
      <w:r>
        <w:t>Le tableau de bord agrege les donnees issues des clients, placements et mouvements financiers. Les indicateurs ne doivent pas etre lus comme une preuve comptable isolee: ils doivent etre reconciles avec les operations detaillees.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40"/>
            </w:pPr>
            <w:r>
              <w:rPr>
                <w:rFonts w:ascii="Calibri" w:hAnsi="Calibri"/>
                <w:b/>
                <w:color w:val="1F2937"/>
                <w:sz w:val="18"/>
              </w:rPr>
            </w:r>
            <w:r>
              <w:rPr>
                <w:rFonts w:ascii="Calibri" w:hAnsi="Calibri"/>
                <w:b/>
                <w:color w:val="1F2937"/>
                <w:sz w:val="18"/>
              </w:rPr>
              <w:t>Indicateur</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Interpretation</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Controle attendu</w:t>
            </w:r>
          </w:p>
        </w:tc>
      </w:tr>
      <w:tr>
        <w:tc>
          <w:tcPr>
            <w:tcW w:type="dxa" w:w="3120"/>
            <w:vAlign w:val="center"/>
          </w:tcPr>
          <w:p>
            <w:pPr>
              <w:spacing w:after="40"/>
            </w:pPr>
            <w:r>
              <w:rPr>
                <w:rFonts w:ascii="Calibri" w:hAnsi="Calibri"/>
                <w:sz w:val="18"/>
              </w:rPr>
            </w:r>
            <w:r>
              <w:rPr>
                <w:rFonts w:ascii="Calibri" w:hAnsi="Calibri"/>
                <w:b/>
                <w:color w:val="1F2937"/>
                <w:sz w:val="18"/>
              </w:rPr>
              <w:t>Capital investi</w:t>
            </w:r>
          </w:p>
        </w:tc>
        <w:tc>
          <w:tcPr>
            <w:tcW w:type="dxa" w:w="3120"/>
            <w:vAlign w:val="center"/>
          </w:tcPr>
          <w:p>
            <w:pPr>
              <w:spacing w:after="40"/>
            </w:pPr>
            <w:r>
              <w:rPr>
                <w:rFonts w:ascii="Calibri" w:hAnsi="Calibri"/>
                <w:sz w:val="18"/>
              </w:rPr>
            </w:r>
            <w:r>
              <w:rPr>
                <w:rFonts w:ascii="Calibri" w:hAnsi="Calibri"/>
                <w:b w:val="0"/>
                <w:color w:val="1F2937"/>
                <w:sz w:val="18"/>
              </w:rPr>
              <w:t>Somme des montants places et encore pertinents selon la vue.</w:t>
            </w:r>
          </w:p>
        </w:tc>
        <w:tc>
          <w:tcPr>
            <w:tcW w:type="dxa" w:w="3120"/>
            <w:vAlign w:val="center"/>
          </w:tcPr>
          <w:p>
            <w:pPr>
              <w:spacing w:after="40"/>
            </w:pPr>
            <w:r>
              <w:rPr>
                <w:rFonts w:ascii="Calibri" w:hAnsi="Calibri"/>
                <w:sz w:val="18"/>
              </w:rPr>
            </w:r>
            <w:r>
              <w:rPr>
                <w:rFonts w:ascii="Calibri" w:hAnsi="Calibri"/>
                <w:b w:val="0"/>
                <w:color w:val="1F2937"/>
                <w:sz w:val="18"/>
              </w:rPr>
              <w:t>Comparer aux placements actifs et aux remboursements.</w:t>
            </w:r>
          </w:p>
        </w:tc>
      </w:tr>
      <w:tr>
        <w:tc>
          <w:tcPr>
            <w:tcW w:type="dxa" w:w="3120"/>
            <w:vAlign w:val="center"/>
          </w:tcPr>
          <w:p>
            <w:pPr>
              <w:spacing w:after="40"/>
            </w:pPr>
            <w:r>
              <w:rPr>
                <w:rFonts w:ascii="Calibri" w:hAnsi="Calibri"/>
                <w:sz w:val="18"/>
              </w:rPr>
            </w:r>
            <w:r>
              <w:rPr>
                <w:rFonts w:ascii="Calibri" w:hAnsi="Calibri"/>
                <w:b/>
                <w:color w:val="1F2937"/>
                <w:sz w:val="18"/>
              </w:rPr>
              <w:t>Gains FCP</w:t>
            </w:r>
          </w:p>
        </w:tc>
        <w:tc>
          <w:tcPr>
            <w:tcW w:type="dxa" w:w="3120"/>
            <w:vAlign w:val="center"/>
          </w:tcPr>
          <w:p>
            <w:pPr>
              <w:spacing w:after="40"/>
            </w:pPr>
            <w:r>
              <w:rPr>
                <w:rFonts w:ascii="Calibri" w:hAnsi="Calibri"/>
                <w:sz w:val="18"/>
              </w:rPr>
            </w:r>
            <w:r>
              <w:rPr>
                <w:rFonts w:ascii="Calibri" w:hAnsi="Calibri"/>
                <w:b w:val="0"/>
                <w:color w:val="1F2937"/>
                <w:sz w:val="18"/>
              </w:rPr>
              <w:t>Gains calcules par difference entre valeur actuelle et cout de revient.</w:t>
            </w:r>
          </w:p>
        </w:tc>
        <w:tc>
          <w:tcPr>
            <w:tcW w:type="dxa" w:w="3120"/>
            <w:vAlign w:val="center"/>
          </w:tcPr>
          <w:p>
            <w:pPr>
              <w:spacing w:after="40"/>
            </w:pPr>
            <w:r>
              <w:rPr>
                <w:rFonts w:ascii="Calibri" w:hAnsi="Calibri"/>
                <w:sz w:val="18"/>
              </w:rPr>
            </w:r>
            <w:r>
              <w:rPr>
                <w:rFonts w:ascii="Calibri" w:hAnsi="Calibri"/>
                <w:b w:val="0"/>
                <w:color w:val="1F2937"/>
                <w:sz w:val="18"/>
              </w:rPr>
              <w:t>Verifier VL et nombre de parts avec toutes les decimales.</w:t>
            </w:r>
          </w:p>
        </w:tc>
      </w:tr>
      <w:tr>
        <w:tc>
          <w:tcPr>
            <w:tcW w:type="dxa" w:w="3120"/>
            <w:vAlign w:val="center"/>
          </w:tcPr>
          <w:p>
            <w:pPr>
              <w:spacing w:after="40"/>
            </w:pPr>
            <w:r>
              <w:rPr>
                <w:rFonts w:ascii="Calibri" w:hAnsi="Calibri"/>
                <w:sz w:val="18"/>
              </w:rPr>
            </w:r>
            <w:r>
              <w:rPr>
                <w:rFonts w:ascii="Calibri" w:hAnsi="Calibri"/>
                <w:b/>
                <w:color w:val="1F2937"/>
                <w:sz w:val="18"/>
              </w:rPr>
              <w:t>Gains actifs PMG</w:t>
            </w:r>
          </w:p>
        </w:tc>
        <w:tc>
          <w:tcPr>
            <w:tcW w:type="dxa" w:w="3120"/>
            <w:vAlign w:val="center"/>
          </w:tcPr>
          <w:p>
            <w:pPr>
              <w:spacing w:after="40"/>
            </w:pPr>
            <w:r>
              <w:rPr>
                <w:rFonts w:ascii="Calibri" w:hAnsi="Calibri"/>
                <w:sz w:val="18"/>
              </w:rPr>
            </w:r>
            <w:r>
              <w:rPr>
                <w:rFonts w:ascii="Calibri" w:hAnsi="Calibri"/>
                <w:b w:val="0"/>
                <w:color w:val="1F2937"/>
                <w:sz w:val="18"/>
              </w:rPr>
              <w:t>Interets calcules sur les PMG actifs ou a declarer.</w:t>
            </w:r>
          </w:p>
        </w:tc>
        <w:tc>
          <w:tcPr>
            <w:tcW w:type="dxa" w:w="3120"/>
            <w:vAlign w:val="center"/>
          </w:tcPr>
          <w:p>
            <w:pPr>
              <w:spacing w:after="40"/>
            </w:pPr>
            <w:r>
              <w:rPr>
                <w:rFonts w:ascii="Calibri" w:hAnsi="Calibri"/>
                <w:sz w:val="18"/>
              </w:rPr>
            </w:r>
            <w:r>
              <w:rPr>
                <w:rFonts w:ascii="Calibri" w:hAnsi="Calibri"/>
                <w:b w:val="0"/>
                <w:color w:val="1F2937"/>
                <w:sz w:val="18"/>
              </w:rPr>
              <w:t>Verifier date de debut, date de fin, taux et mode de gestion des interets.</w:t>
            </w:r>
          </w:p>
        </w:tc>
      </w:tr>
      <w:tr>
        <w:tc>
          <w:tcPr>
            <w:tcW w:type="dxa" w:w="3120"/>
            <w:vAlign w:val="center"/>
          </w:tcPr>
          <w:p>
            <w:pPr>
              <w:spacing w:after="40"/>
            </w:pPr>
            <w:r>
              <w:rPr>
                <w:rFonts w:ascii="Calibri" w:hAnsi="Calibri"/>
                <w:sz w:val="18"/>
              </w:rPr>
            </w:r>
            <w:r>
              <w:rPr>
                <w:rFonts w:ascii="Calibri" w:hAnsi="Calibri"/>
                <w:b/>
                <w:color w:val="1F2937"/>
                <w:sz w:val="18"/>
              </w:rPr>
              <w:t>Clients actifs</w:t>
            </w:r>
          </w:p>
        </w:tc>
        <w:tc>
          <w:tcPr>
            <w:tcW w:type="dxa" w:w="3120"/>
            <w:vAlign w:val="center"/>
          </w:tcPr>
          <w:p>
            <w:pPr>
              <w:spacing w:after="40"/>
            </w:pPr>
            <w:r>
              <w:rPr>
                <w:rFonts w:ascii="Calibri" w:hAnsi="Calibri"/>
                <w:sz w:val="18"/>
              </w:rPr>
            </w:r>
            <w:r>
              <w:rPr>
                <w:rFonts w:ascii="Calibri" w:hAnsi="Calibri"/>
                <w:b w:val="0"/>
                <w:color w:val="1F2937"/>
                <w:sz w:val="18"/>
              </w:rPr>
              <w:t>Clients avec portefeuille ou produits actifs selon le filtre.</w:t>
            </w:r>
          </w:p>
        </w:tc>
        <w:tc>
          <w:tcPr>
            <w:tcW w:type="dxa" w:w="3120"/>
            <w:vAlign w:val="center"/>
          </w:tcPr>
          <w:p>
            <w:pPr>
              <w:spacing w:after="40"/>
            </w:pPr>
            <w:r>
              <w:rPr>
                <w:rFonts w:ascii="Calibri" w:hAnsi="Calibri"/>
                <w:sz w:val="18"/>
              </w:rPr>
            </w:r>
            <w:r>
              <w:rPr>
                <w:rFonts w:ascii="Calibri" w:hAnsi="Calibri"/>
                <w:b w:val="0"/>
                <w:color w:val="1F2937"/>
                <w:sz w:val="18"/>
              </w:rPr>
              <w:t>Ne pas confondre avec la liste des releves a envoyer.</w:t>
            </w:r>
          </w:p>
        </w:tc>
      </w:tr>
      <w:tr>
        <w:tc>
          <w:tcPr>
            <w:tcW w:type="dxa" w:w="3120"/>
            <w:vAlign w:val="center"/>
          </w:tcPr>
          <w:p>
            <w:pPr>
              <w:spacing w:after="40"/>
            </w:pPr>
            <w:r>
              <w:rPr>
                <w:rFonts w:ascii="Calibri" w:hAnsi="Calibri"/>
                <w:sz w:val="18"/>
              </w:rPr>
            </w:r>
            <w:r>
              <w:rPr>
                <w:rFonts w:ascii="Calibri" w:hAnsi="Calibri"/>
                <w:b/>
                <w:color w:val="1F2937"/>
                <w:sz w:val="18"/>
              </w:rPr>
              <w:t>Clients inactifs</w:t>
            </w:r>
          </w:p>
        </w:tc>
        <w:tc>
          <w:tcPr>
            <w:tcW w:type="dxa" w:w="3120"/>
            <w:vAlign w:val="center"/>
          </w:tcPr>
          <w:p>
            <w:pPr>
              <w:spacing w:after="40"/>
            </w:pPr>
            <w:r>
              <w:rPr>
                <w:rFonts w:ascii="Calibri" w:hAnsi="Calibri"/>
                <w:sz w:val="18"/>
              </w:rPr>
            </w:r>
            <w:r>
              <w:rPr>
                <w:rFonts w:ascii="Calibri" w:hAnsi="Calibri"/>
                <w:b w:val="0"/>
                <w:color w:val="1F2937"/>
                <w:sz w:val="18"/>
              </w:rPr>
              <w:t>Clients sans portefeuille actif dans le perimetre affiche.</w:t>
            </w:r>
          </w:p>
        </w:tc>
        <w:tc>
          <w:tcPr>
            <w:tcW w:type="dxa" w:w="3120"/>
            <w:vAlign w:val="center"/>
          </w:tcPr>
          <w:p>
            <w:pPr>
              <w:spacing w:after="40"/>
            </w:pPr>
            <w:r>
              <w:rPr>
                <w:rFonts w:ascii="Calibri" w:hAnsi="Calibri"/>
                <w:sz w:val="18"/>
              </w:rPr>
            </w:r>
            <w:r>
              <w:rPr>
                <w:rFonts w:ascii="Calibri" w:hAnsi="Calibri"/>
                <w:b w:val="0"/>
                <w:color w:val="1F2937"/>
                <w:sz w:val="18"/>
              </w:rPr>
              <w:t>Verifier qu'aucun placement en cours ou liquidite residuelle n'existe.</w:t>
            </w:r>
          </w:p>
        </w:tc>
      </w:tr>
    </w:tbl>
    <w:p>
      <w:pPr>
        <w:pStyle w:val="Heading1"/>
      </w:pPr>
      <w:r>
        <w:t>5. Gestion des clients</w:t>
      </w:r>
    </w:p>
    <w:p>
      <w:pPr>
        <w:spacing w:after="160"/>
      </w:pPr>
      <w:r>
        <w:t>La liste clients sert a rechercher un client, consulter ses produits, verifier son portefeuille global et ouvrir sa fiche detaillee. Les onglets permettent de distinguer tous les clients, les clients FCP, les clients PMG, les echeances du mois et les anniversaires PMG.</w:t>
      </w:r>
    </w:p>
    <w:p>
      <w:pPr>
        <w:spacing w:before="80" w:after="40"/>
        <w:jc w:val="center"/>
      </w:pPr>
      <w:r>
        <w:drawing>
          <wp:inline xmlns:a="http://schemas.openxmlformats.org/drawingml/2006/main" xmlns:pic="http://schemas.openxmlformats.org/drawingml/2006/picture">
            <wp:extent cx="5806440" cy="3266920"/>
            <wp:docPr id="4" name="Picture 4"/>
            <wp:cNvGraphicFramePr>
              <a:graphicFrameLocks noChangeAspect="1"/>
            </wp:cNvGraphicFramePr>
            <a:graphic>
              <a:graphicData uri="http://schemas.openxmlformats.org/drawingml/2006/picture">
                <pic:pic>
                  <pic:nvPicPr>
                    <pic:cNvPr id="0" name="03-liste-clients.png"/>
                    <pic:cNvPicPr/>
                  </pic:nvPicPr>
                  <pic:blipFill>
                    <a:blip r:embed="rId14"/>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Liste generale des clients et indicateurs de synthese.</w:t>
      </w:r>
    </w:p>
    <w:p>
      <w:pPr>
        <w:spacing w:before="80" w:after="40"/>
        <w:jc w:val="center"/>
      </w:pPr>
      <w:r>
        <w:drawing>
          <wp:inline xmlns:a="http://schemas.openxmlformats.org/drawingml/2006/main" xmlns:pic="http://schemas.openxmlformats.org/drawingml/2006/picture">
            <wp:extent cx="5806440" cy="3266920"/>
            <wp:docPr id="5" name="Picture 5"/>
            <wp:cNvGraphicFramePr>
              <a:graphicFrameLocks noChangeAspect="1"/>
            </wp:cNvGraphicFramePr>
            <a:graphic>
              <a:graphicData uri="http://schemas.openxmlformats.org/drawingml/2006/picture">
                <pic:pic>
                  <pic:nvPicPr>
                    <pic:cNvPr id="0" name="04-liste-clients-pmg.png"/>
                    <pic:cNvPicPr/>
                  </pic:nvPicPr>
                  <pic:blipFill>
                    <a:blip r:embed="rId15"/>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Filtrage de la liste sur les clients PMG.</w:t>
      </w:r>
    </w:p>
    <w:p>
      <w:pPr>
        <w:pStyle w:val="ListBullet"/>
        <w:spacing w:after="80"/>
      </w:pPr>
      <w:r>
        <w:rPr>
          <w:rFonts w:ascii="Calibri" w:hAnsi="Calibri"/>
          <w:sz w:val="21"/>
        </w:rPr>
        <w:t>Cliquer sur Details pour ouvrir la fiche d'un client.</w:t>
      </w:r>
    </w:p>
    <w:p>
      <w:pPr>
        <w:pStyle w:val="ListBullet"/>
        <w:spacing w:after="80"/>
      </w:pPr>
      <w:r>
        <w:rPr>
          <w:rFonts w:ascii="Calibri" w:hAnsi="Calibri"/>
          <w:sz w:val="21"/>
        </w:rPr>
        <w:t>Utiliser les onglets pour verifier les populations PMG, FCP, echeances et anniversaires.</w:t>
      </w:r>
    </w:p>
    <w:p>
      <w:pPr>
        <w:pStyle w:val="ListBullet"/>
        <w:spacing w:after="80"/>
      </w:pPr>
      <w:r>
        <w:rPr>
          <w:rFonts w:ascii="Calibri" w:hAnsi="Calibri"/>
          <w:sz w:val="21"/>
        </w:rPr>
        <w:t>Un client peut apparaitre avec un portefeuille a zero s'il existe dans la base mais sans placement actif dans le filtre courant.</w:t>
      </w:r>
    </w:p>
    <w:p>
      <w:pPr>
        <w:pStyle w:val="ListBullet"/>
        <w:spacing w:after="80"/>
      </w:pPr>
      <w:r>
        <w:rPr>
          <w:rFonts w:ascii="Calibri" w:hAnsi="Calibri"/>
          <w:sz w:val="21"/>
        </w:rPr>
        <w:t>Les clients selectionnes pour les releves peuvent differer du nombre de clients actifs, car la logique d'envoi depend aussi de la periode de valorisation et des produits a declarer.</w:t>
      </w:r>
    </w:p>
    <w:p>
      <w:pPr>
        <w:pStyle w:val="Heading1"/>
      </w:pPr>
      <w:r>
        <w:t>6. Creation d'un client</w:t>
      </w:r>
    </w:p>
    <w:p>
      <w:pPr>
        <w:spacing w:after="160"/>
      </w:pPr>
      <w:r>
        <w:t>La creation client doit etre complete, car les donnees sont ensuite utilisees pour les releves, les emails et l'identification du portefeuille.</w:t>
      </w:r>
    </w:p>
    <w:p>
      <w:pPr>
        <w:spacing w:before="80" w:after="40"/>
        <w:jc w:val="center"/>
      </w:pPr>
      <w:r>
        <w:drawing>
          <wp:inline xmlns:a="http://schemas.openxmlformats.org/drawingml/2006/main" xmlns:pic="http://schemas.openxmlformats.org/drawingml/2006/picture">
            <wp:extent cx="5806440" cy="3266920"/>
            <wp:docPr id="6" name="Picture 6"/>
            <wp:cNvGraphicFramePr>
              <a:graphicFrameLocks noChangeAspect="1"/>
            </wp:cNvGraphicFramePr>
            <a:graphic>
              <a:graphicData uri="http://schemas.openxmlformats.org/drawingml/2006/picture">
                <pic:pic>
                  <pic:nvPicPr>
                    <pic:cNvPr id="0" name="10-creation-client.png"/>
                    <pic:cNvPicPr/>
                  </pic:nvPicPr>
                  <pic:blipFill>
                    <a:blip r:embed="rId16"/>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Formulaire de creation d'un nouveau client.</w:t>
      </w:r>
    </w:p>
    <w:p>
      <w:pPr>
        <w:pStyle w:val="ListNumber"/>
        <w:spacing w:after="80"/>
      </w:pPr>
      <w:r>
        <w:rPr>
          <w:rFonts w:ascii="Calibri" w:hAnsi="Calibri"/>
          <w:sz w:val="21"/>
        </w:rPr>
        <w:t>Ouvrir Creer un client depuis le menu lateral.</w:t>
      </w:r>
    </w:p>
    <w:p>
      <w:pPr>
        <w:pStyle w:val="ListNumber"/>
        <w:spacing w:after="80"/>
      </w:pPr>
      <w:r>
        <w:rPr>
          <w:rFonts w:ascii="Calibri" w:hAnsi="Calibri"/>
          <w:sz w:val="21"/>
        </w:rPr>
        <w:t>Renseigner les informations d'identite ou de raison sociale.</w:t>
      </w:r>
    </w:p>
    <w:p>
      <w:pPr>
        <w:pStyle w:val="ListNumber"/>
        <w:spacing w:after="80"/>
      </w:pPr>
      <w:r>
        <w:rPr>
          <w:rFonts w:ascii="Calibri" w:hAnsi="Calibri"/>
          <w:sz w:val="21"/>
        </w:rPr>
        <w:t>Saisir une adresse email valide pour les notifications et releves.</w:t>
      </w:r>
    </w:p>
    <w:p>
      <w:pPr>
        <w:pStyle w:val="ListNumber"/>
        <w:spacing w:after="80"/>
      </w:pPr>
      <w:r>
        <w:rPr>
          <w:rFonts w:ascii="Calibri" w:hAnsi="Calibri"/>
          <w:sz w:val="21"/>
        </w:rPr>
        <w:t>Verifier le role, le type de client et les informations de contact.</w:t>
      </w:r>
    </w:p>
    <w:p>
      <w:pPr>
        <w:pStyle w:val="ListNumber"/>
        <w:spacing w:after="80"/>
      </w:pPr>
      <w:r>
        <w:rPr>
          <w:rFonts w:ascii="Calibri" w:hAnsi="Calibri"/>
          <w:sz w:val="21"/>
        </w:rPr>
        <w:t>Enregistrer puis controler que le client apparait dans la liste.</w:t>
      </w:r>
    </w:p>
    <w:p>
      <w:pPr>
        <w:pStyle w:val="Heading1"/>
      </w:pPr>
      <w:r>
        <w:t>7. Fiche client et portefeuille</w:t>
      </w:r>
    </w:p>
    <w:p>
      <w:pPr>
        <w:spacing w:after="160"/>
      </w:pPr>
      <w:r>
        <w:t>La fiche client consolide les produits PMG/FCP, les interets generes, le portefeuille global, les liquidites et les operations accessibles pour ce client.</w:t>
      </w:r>
    </w:p>
    <w:p>
      <w:pPr>
        <w:spacing w:before="80" w:after="40"/>
        <w:jc w:val="center"/>
      </w:pPr>
      <w:r>
        <w:drawing>
          <wp:inline xmlns:a="http://schemas.openxmlformats.org/drawingml/2006/main" xmlns:pic="http://schemas.openxmlformats.org/drawingml/2006/picture">
            <wp:extent cx="5806440" cy="3266920"/>
            <wp:docPr id="7" name="Picture 7"/>
            <wp:cNvGraphicFramePr>
              <a:graphicFrameLocks noChangeAspect="1"/>
            </wp:cNvGraphicFramePr>
            <a:graphic>
              <a:graphicData uri="http://schemas.openxmlformats.org/drawingml/2006/picture">
                <pic:pic>
                  <pic:nvPicPr>
                    <pic:cNvPr id="0" name="05-detail-client-africa-bright.png"/>
                    <pic:cNvPicPr/>
                  </pic:nvPicPr>
                  <pic:blipFill>
                    <a:blip r:embed="rId17"/>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Exemple de fiche client: AFRICA BRIGHT.</w:t>
      </w:r>
    </w:p>
    <w:p>
      <w:pPr>
        <w:pStyle w:val="ListBullet"/>
        <w:spacing w:after="80"/>
      </w:pPr>
      <w:r>
        <w:rPr>
          <w:rFonts w:ascii="Calibri" w:hAnsi="Calibri"/>
          <w:sz w:val="21"/>
        </w:rPr>
        <w:t>Portefeuille PMG: capital et interets lies aux mandats de gestion.</w:t>
      </w:r>
    </w:p>
    <w:p>
      <w:pPr>
        <w:pStyle w:val="ListBullet"/>
        <w:spacing w:after="80"/>
      </w:pPr>
      <w:r>
        <w:rPr>
          <w:rFonts w:ascii="Calibri" w:hAnsi="Calibri"/>
          <w:sz w:val="21"/>
        </w:rPr>
        <w:t>Portefeuille FCP: valeur calculee a partir du nombre de parts et de la VL applicable.</w:t>
      </w:r>
    </w:p>
    <w:p>
      <w:pPr>
        <w:pStyle w:val="ListBullet"/>
        <w:spacing w:after="80"/>
      </w:pPr>
      <w:r>
        <w:rPr>
          <w:rFonts w:ascii="Calibri" w:hAnsi="Calibri"/>
          <w:sz w:val="21"/>
        </w:rPr>
        <w:t>Interets generes: total des interets produits selon les regles de chaque placement.</w:t>
      </w:r>
    </w:p>
    <w:p>
      <w:pPr>
        <w:pStyle w:val="ListBullet"/>
        <w:spacing w:after="80"/>
      </w:pPr>
      <w:r>
        <w:rPr>
          <w:rFonts w:ascii="Calibri" w:hAnsi="Calibri"/>
          <w:sz w:val="21"/>
        </w:rPr>
        <w:t>Liquidite: montants sortis du placement mais pas encore payes au client.</w:t>
      </w:r>
    </w:p>
    <w:p>
      <w:pPr>
        <w:pStyle w:val="ListBullet"/>
        <w:spacing w:after="80"/>
      </w:pPr>
      <w:r>
        <w:rPr>
          <w:rFonts w:ascii="Calibri" w:hAnsi="Calibri"/>
          <w:sz w:val="21"/>
        </w:rPr>
        <w:t>Historique de transactions: preuve principale des mouvements enregistres.</w:t>
      </w:r>
    </w:p>
    <w:p>
      <w:pPr>
        <w:pStyle w:val="Heading1"/>
      </w:pPr>
      <w:r>
        <w:t>8. Portail client</w:t>
      </w:r>
    </w:p>
    <w:p>
      <w:pPr>
        <w:spacing w:after="160"/>
      </w:pPr>
      <w:r>
        <w:t>Le portail client donne au client une vision de ses produits, de ses historiques et de ses releves. Les informations visibles doivent etre strictement coherentes avec les operations validees et les liquidites non encore payees.</w:t>
      </w:r>
    </w:p>
    <w:p>
      <w:pPr>
        <w:pStyle w:val="ListBullet"/>
        <w:spacing w:after="80"/>
      </w:pPr>
      <w:r>
        <w:rPr>
          <w:rFonts w:ascii="Calibri" w:hAnsi="Calibri"/>
          <w:sz w:val="21"/>
        </w:rPr>
        <w:t>Dashboard client: synthese du portefeuille et acces aux rubriques personnelles.</w:t>
      </w:r>
    </w:p>
    <w:p>
      <w:pPr>
        <w:pStyle w:val="ListBullet"/>
        <w:spacing w:after="80"/>
      </w:pPr>
      <w:r>
        <w:rPr>
          <w:rFonts w:ascii="Calibri" w:hAnsi="Calibri"/>
          <w:sz w:val="21"/>
        </w:rPr>
        <w:t>Mes produits: detail des produits detenus, gains et evolution.</w:t>
      </w:r>
    </w:p>
    <w:p>
      <w:pPr>
        <w:pStyle w:val="ListBullet"/>
        <w:spacing w:after="80"/>
      </w:pPr>
      <w:r>
        <w:rPr>
          <w:rFonts w:ascii="Calibri" w:hAnsi="Calibri"/>
          <w:sz w:val="21"/>
        </w:rPr>
        <w:t>Mon historique: liste des transactions et telechargement possible d'un historique PDF.</w:t>
      </w:r>
    </w:p>
    <w:p>
      <w:pPr>
        <w:pStyle w:val="ListBullet"/>
        <w:spacing w:after="80"/>
      </w:pPr>
      <w:r>
        <w:rPr>
          <w:rFonts w:ascii="Calibri" w:hAnsi="Calibri"/>
          <w:sz w:val="21"/>
        </w:rPr>
        <w:t>Mes releves: releves mensuels disponibles par annee, mois et type de produit.</w:t>
      </w:r>
    </w:p>
    <w:p>
      <w:pPr>
        <w:pStyle w:val="ListBullet"/>
        <w:spacing w:after="80"/>
      </w:pPr>
      <w:r>
        <w:rPr>
          <w:rFonts w:ascii="Calibri" w:hAnsi="Calibri"/>
          <w:sz w:val="21"/>
        </w:rPr>
        <w:t>Profil: informations du compte et changement de mot de passe si autorise.</w:t>
      </w:r>
    </w:p>
    <w:tbl>
      <w:tblPr>
        <w:tblStyle w:val="TableGrid"/>
        <w:tblW w:type="auto" w:w="0"/>
        <w:tblLayout w:type="fixed"/>
        <w:tblLook w:firstColumn="1" w:firstRow="1" w:lastColumn="0" w:lastRow="0" w:noHBand="0" w:noVBand="1" w:val="04A0"/>
      </w:tblPr>
      <w:tblGrid>
        <w:gridCol w:w="9072"/>
      </w:tblGrid>
      <w:tr>
        <w:tc>
          <w:tcPr>
            <w:tcW w:type="dxa" w:w="9360"/>
            <w:shd w:fill="E8F7EF"/>
          </w:tcPr>
          <w:p>
            <w:pPr>
              <w:spacing w:after="40"/>
            </w:pPr>
            <w:r>
              <w:rPr>
                <w:b/>
                <w:color w:val="0B2545"/>
                <w:sz w:val="19"/>
              </w:rPr>
              <w:t xml:space="preserve">Regle portail client. </w:t>
            </w:r>
            <w:r>
              <w:rPr>
                <w:rFonts w:ascii="Calibri" w:hAnsi="Calibri"/>
                <w:color w:val="1F2937"/>
                <w:sz w:val="19"/>
              </w:rPr>
              <w:t>Une liquidite doit etre visible pour le client tant qu'elle n'est pas payee. Apres paiement, l'ecriture de paiement et son justificatif deviennent la preuve de sortie effective.</w:t>
            </w:r>
          </w:p>
        </w:tc>
      </w:tr>
    </w:tbl>
    <w:p/>
    <w:p>
      <w:pPr>
        <w:pStyle w:val="Heading1"/>
      </w:pPr>
      <w:r>
        <w:t>9. Operations et transactions</w:t>
      </w:r>
    </w:p>
    <w:p>
      <w:pPr>
        <w:spacing w:after="160"/>
      </w:pPr>
      <w:r>
        <w:t>La page de gestion des transactions permet d'ajouter, verifier et historiser les mouvements d'un client: placements, rachats, remboursements, paiements d'interets et paiements de liquidite.</w:t>
      </w:r>
    </w:p>
    <w:p>
      <w:pPr>
        <w:spacing w:before="80" w:after="40"/>
        <w:jc w:val="center"/>
      </w:pPr>
      <w:r>
        <w:drawing>
          <wp:inline xmlns:a="http://schemas.openxmlformats.org/drawingml/2006/main" xmlns:pic="http://schemas.openxmlformats.org/drawingml/2006/picture">
            <wp:extent cx="5806440" cy="3266920"/>
            <wp:docPr id="8" name="Picture 8"/>
            <wp:cNvGraphicFramePr>
              <a:graphicFrameLocks noChangeAspect="1"/>
            </wp:cNvGraphicFramePr>
            <a:graphic>
              <a:graphicData uri="http://schemas.openxmlformats.org/drawingml/2006/picture">
                <pic:pic>
                  <pic:nvPicPr>
                    <pic:cNvPr id="0" name="06-operations-client-africa-bright.png"/>
                    <pic:cNvPicPr/>
                  </pic:nvPicPr>
                  <pic:blipFill>
                    <a:blip r:embed="rId18"/>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Gestion des operations d'un client.</w:t>
      </w:r>
    </w:p>
    <w:p>
      <w:pPr>
        <w:pStyle w:val="ListBullet"/>
        <w:spacing w:after="80"/>
      </w:pPr>
      <w:r>
        <w:rPr>
          <w:rFonts w:ascii="Calibri" w:hAnsi="Calibri"/>
          <w:sz w:val="21"/>
        </w:rPr>
        <w:t>Chaque operation doit avoir une date, un montant et un type coherent.</w:t>
      </w:r>
    </w:p>
    <w:p>
      <w:pPr>
        <w:pStyle w:val="ListBullet"/>
        <w:spacing w:after="80"/>
      </w:pPr>
      <w:r>
        <w:rPr>
          <w:rFonts w:ascii="Calibri" w:hAnsi="Calibri"/>
          <w:sz w:val="21"/>
        </w:rPr>
        <w:t>Les operations PMG doivent respecter le mode de gestion des interets du mandat.</w:t>
      </w:r>
    </w:p>
    <w:p>
      <w:pPr>
        <w:pStyle w:val="ListBullet"/>
        <w:spacing w:after="80"/>
      </w:pPr>
      <w:r>
        <w:rPr>
          <w:rFonts w:ascii="Calibri" w:hAnsi="Calibri"/>
          <w:sz w:val="21"/>
        </w:rPr>
        <w:t>Les paiements au client doivent porter une preuve: date de paiement, methode, reference et justificatif.</w:t>
      </w:r>
    </w:p>
    <w:p>
      <w:pPr>
        <w:pStyle w:val="ListBullet"/>
        <w:spacing w:after="80"/>
      </w:pPr>
      <w:r>
        <w:rPr>
          <w:rFonts w:ascii="Calibri" w:hAnsi="Calibri"/>
          <w:sz w:val="21"/>
        </w:rPr>
        <w:t>L'historique doit permettre de reconstituer le solde, les liquidites et les paiements deja effectues.</w:t>
      </w:r>
    </w:p>
    <w:p>
      <w:pPr>
        <w:pStyle w:val="Heading1"/>
      </w:pPr>
      <w:r>
        <w:t>10. Regles PMG: capitalisation, distribution et liquidite</w:t>
      </w:r>
    </w:p>
    <w:p>
      <w:pPr>
        <w:spacing w:after="160"/>
      </w:pPr>
      <w:r>
        <w:t>Un PMG doit etre interprete a partir de son montant place, de son taux, de ses dates, et surtout de sa modalite de gestion des interets.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vAlign w:val="center"/>
            <w:shd w:fill="FFF4CC"/>
          </w:tcPr>
          <w:p>
            <w:pPr>
              <w:spacing w:after="40"/>
            </w:pPr>
            <w:r>
              <w:rPr>
                <w:rFonts w:ascii="Calibri" w:hAnsi="Calibri"/>
                <w:b/>
                <w:color w:val="1F2937"/>
                <w:sz w:val="18"/>
              </w:rPr>
            </w:r>
            <w:r>
              <w:rPr>
                <w:rFonts w:ascii="Calibri" w:hAnsi="Calibri"/>
                <w:b/>
                <w:color w:val="1F2937"/>
                <w:sz w:val="18"/>
              </w:rPr>
              <w:t>Modalite</w:t>
            </w:r>
          </w:p>
        </w:tc>
        <w:tc>
          <w:tcPr>
            <w:tcW w:type="dxa" w:w="3120"/>
            <w:vAlign w:val="center"/>
            <w:shd w:fill="FFF4CC"/>
          </w:tcPr>
          <w:p>
            <w:pPr>
              <w:spacing w:after="40"/>
            </w:pPr>
            <w:r>
              <w:rPr>
                <w:rFonts w:ascii="Calibri" w:hAnsi="Calibri"/>
                <w:b/>
                <w:color w:val="1F2937"/>
                <w:sz w:val="18"/>
              </w:rPr>
            </w:r>
            <w:r>
              <w:rPr>
                <w:rFonts w:ascii="Calibri" w:hAnsi="Calibri"/>
                <w:b/>
                <w:color w:val="1F2937"/>
                <w:sz w:val="18"/>
              </w:rPr>
              <w:t>Traitement attendu</w:t>
            </w:r>
          </w:p>
        </w:tc>
        <w:tc>
          <w:tcPr>
            <w:tcW w:type="dxa" w:w="3120"/>
            <w:vAlign w:val="center"/>
            <w:shd w:fill="FFF4CC"/>
          </w:tcPr>
          <w:p>
            <w:pPr>
              <w:spacing w:after="40"/>
            </w:pPr>
            <w:r>
              <w:rPr>
                <w:rFonts w:ascii="Calibri" w:hAnsi="Calibri"/>
                <w:b/>
                <w:color w:val="1F2937"/>
                <w:sz w:val="18"/>
              </w:rPr>
            </w:r>
            <w:r>
              <w:rPr>
                <w:rFonts w:ascii="Calibri" w:hAnsi="Calibri"/>
                <w:b/>
                <w:color w:val="1F2937"/>
                <w:sz w:val="18"/>
              </w:rPr>
              <w:t>Effet sur le client</w:t>
            </w:r>
          </w:p>
        </w:tc>
      </w:tr>
      <w:tr>
        <w:tc>
          <w:tcPr>
            <w:tcW w:type="dxa" w:w="3120"/>
            <w:vAlign w:val="center"/>
          </w:tcPr>
          <w:p>
            <w:pPr>
              <w:spacing w:after="40"/>
            </w:pPr>
            <w:r>
              <w:rPr>
                <w:rFonts w:ascii="Calibri" w:hAnsi="Calibri"/>
                <w:sz w:val="18"/>
              </w:rPr>
            </w:r>
            <w:r>
              <w:rPr>
                <w:rFonts w:ascii="Calibri" w:hAnsi="Calibri"/>
                <w:b/>
                <w:color w:val="1F2937"/>
                <w:sz w:val="18"/>
              </w:rPr>
              <w:t>A l'echeance du placement</w:t>
            </w:r>
          </w:p>
        </w:tc>
        <w:tc>
          <w:tcPr>
            <w:tcW w:type="dxa" w:w="3120"/>
            <w:vAlign w:val="center"/>
          </w:tcPr>
          <w:p>
            <w:pPr>
              <w:spacing w:after="40"/>
            </w:pPr>
            <w:r>
              <w:rPr>
                <w:rFonts w:ascii="Calibri" w:hAnsi="Calibri"/>
                <w:sz w:val="18"/>
              </w:rPr>
            </w:r>
            <w:r>
              <w:rPr>
                <w:rFonts w:ascii="Calibri" w:hAnsi="Calibri"/>
                <w:b w:val="0"/>
                <w:color w:val="1F2937"/>
                <w:sz w:val="18"/>
              </w:rPr>
              <w:t>Les interets courent jusqu'a la date de fin du mandat. A l'echeance, capital + interets doivent basculer en liquidite si le paiement n'est pas encore execute.</w:t>
            </w:r>
          </w:p>
        </w:tc>
        <w:tc>
          <w:tcPr>
            <w:tcW w:type="dxa" w:w="3120"/>
            <w:vAlign w:val="center"/>
          </w:tcPr>
          <w:p>
            <w:pPr>
              <w:spacing w:after="40"/>
            </w:pPr>
            <w:r>
              <w:rPr>
                <w:rFonts w:ascii="Calibri" w:hAnsi="Calibri"/>
                <w:sz w:val="18"/>
              </w:rPr>
            </w:r>
            <w:r>
              <w:rPr>
                <w:rFonts w:ascii="Calibri" w:hAnsi="Calibri"/>
                <w:b w:val="0"/>
                <w:color w:val="1F2937"/>
                <w:sz w:val="18"/>
              </w:rPr>
              <w:t>Le client voit une liquidite a payer, puis un paiement prouve solde cette liquidite.</w:t>
            </w:r>
          </w:p>
        </w:tc>
      </w:tr>
      <w:tr>
        <w:tc>
          <w:tcPr>
            <w:tcW w:type="dxa" w:w="3120"/>
            <w:vAlign w:val="center"/>
          </w:tcPr>
          <w:p>
            <w:pPr>
              <w:spacing w:after="40"/>
            </w:pPr>
            <w:r>
              <w:rPr>
                <w:rFonts w:ascii="Calibri" w:hAnsi="Calibri"/>
                <w:sz w:val="18"/>
              </w:rPr>
            </w:r>
            <w:r>
              <w:rPr>
                <w:rFonts w:ascii="Calibri" w:hAnsi="Calibri"/>
                <w:b/>
                <w:color w:val="1F2937"/>
                <w:sz w:val="18"/>
              </w:rPr>
              <w:t>Annuellement a date anniversaire</w:t>
            </w:r>
          </w:p>
        </w:tc>
        <w:tc>
          <w:tcPr>
            <w:tcW w:type="dxa" w:w="3120"/>
            <w:vAlign w:val="center"/>
          </w:tcPr>
          <w:p>
            <w:pPr>
              <w:spacing w:after="40"/>
            </w:pPr>
            <w:r>
              <w:rPr>
                <w:rFonts w:ascii="Calibri" w:hAnsi="Calibri"/>
                <w:sz w:val="18"/>
              </w:rPr>
            </w:r>
            <w:r>
              <w:rPr>
                <w:rFonts w:ascii="Calibri" w:hAnsi="Calibri"/>
                <w:b w:val="0"/>
                <w:color w:val="1F2937"/>
                <w:sz w:val="18"/>
              </w:rPr>
              <w:t>A chaque anniversaire, les interets acquis doivent etre mis en liquidite automatiquement si le backoffice n'a pas saisi la transaction a temps.</w:t>
            </w:r>
          </w:p>
        </w:tc>
        <w:tc>
          <w:tcPr>
            <w:tcW w:type="dxa" w:w="3120"/>
            <w:vAlign w:val="center"/>
          </w:tcPr>
          <w:p>
            <w:pPr>
              <w:spacing w:after="40"/>
            </w:pPr>
            <w:r>
              <w:rPr>
                <w:rFonts w:ascii="Calibri" w:hAnsi="Calibri"/>
                <w:sz w:val="18"/>
              </w:rPr>
            </w:r>
            <w:r>
              <w:rPr>
                <w:rFonts w:ascii="Calibri" w:hAnsi="Calibri"/>
                <w:b w:val="0"/>
                <w:color w:val="1F2937"/>
                <w:sz w:val="18"/>
              </w:rPr>
              <w:t>Les interets sont visibles dans l'espace client et sur les releves.</w:t>
            </w:r>
          </w:p>
        </w:tc>
      </w:tr>
      <w:tr>
        <w:tc>
          <w:tcPr>
            <w:tcW w:type="dxa" w:w="3120"/>
            <w:vAlign w:val="center"/>
          </w:tcPr>
          <w:p>
            <w:pPr>
              <w:spacing w:after="40"/>
            </w:pPr>
            <w:r>
              <w:rPr>
                <w:rFonts w:ascii="Calibri" w:hAnsi="Calibri"/>
                <w:sz w:val="18"/>
              </w:rPr>
            </w:r>
            <w:r>
              <w:rPr>
                <w:rFonts w:ascii="Calibri" w:hAnsi="Calibri"/>
                <w:b/>
                <w:color w:val="1F2937"/>
                <w:sz w:val="18"/>
              </w:rPr>
              <w:t>Capitalisation jusqu'a l'echeance</w:t>
            </w:r>
          </w:p>
        </w:tc>
        <w:tc>
          <w:tcPr>
            <w:tcW w:type="dxa" w:w="3120"/>
            <w:vAlign w:val="center"/>
          </w:tcPr>
          <w:p>
            <w:pPr>
              <w:spacing w:after="40"/>
            </w:pPr>
            <w:r>
              <w:rPr>
                <w:rFonts w:ascii="Calibri" w:hAnsi="Calibri"/>
                <w:sz w:val="18"/>
              </w:rPr>
            </w:r>
            <w:r>
              <w:rPr>
                <w:rFonts w:ascii="Calibri" w:hAnsi="Calibri"/>
                <w:b w:val="0"/>
                <w:color w:val="1F2937"/>
                <w:sz w:val="18"/>
              </w:rPr>
              <w:t>Les interets restent dans le placement jusqu'a la fin du mandat et s'ajoutent a la valeur finale selon la regle de calcul retenue.</w:t>
            </w:r>
          </w:p>
        </w:tc>
        <w:tc>
          <w:tcPr>
            <w:tcW w:type="dxa" w:w="3120"/>
            <w:vAlign w:val="center"/>
          </w:tcPr>
          <w:p>
            <w:pPr>
              <w:spacing w:after="40"/>
            </w:pPr>
            <w:r>
              <w:rPr>
                <w:rFonts w:ascii="Calibri" w:hAnsi="Calibri"/>
                <w:sz w:val="18"/>
              </w:rPr>
            </w:r>
            <w:r>
              <w:rPr>
                <w:rFonts w:ascii="Calibri" w:hAnsi="Calibri"/>
                <w:b w:val="0"/>
                <w:color w:val="1F2937"/>
                <w:sz w:val="18"/>
              </w:rPr>
              <w:t>Pas de paiement intermediaire; sortie a l'echeance.</w:t>
            </w:r>
          </w:p>
        </w:tc>
      </w:tr>
      <w:tr>
        <w:tc>
          <w:tcPr>
            <w:tcW w:type="dxa" w:w="3120"/>
            <w:vAlign w:val="center"/>
          </w:tcPr>
          <w:p>
            <w:pPr>
              <w:spacing w:after="40"/>
            </w:pPr>
            <w:r>
              <w:rPr>
                <w:rFonts w:ascii="Calibri" w:hAnsi="Calibri"/>
                <w:sz w:val="18"/>
              </w:rPr>
            </w:r>
            <w:r>
              <w:rPr>
                <w:rFonts w:ascii="Calibri" w:hAnsi="Calibri"/>
                <w:b/>
                <w:color w:val="1F2937"/>
                <w:sz w:val="18"/>
              </w:rPr>
              <w:t>Interets precomptes</w:t>
            </w:r>
          </w:p>
        </w:tc>
        <w:tc>
          <w:tcPr>
            <w:tcW w:type="dxa" w:w="3120"/>
            <w:vAlign w:val="center"/>
          </w:tcPr>
          <w:p>
            <w:pPr>
              <w:spacing w:after="40"/>
            </w:pPr>
            <w:r>
              <w:rPr>
                <w:rFonts w:ascii="Calibri" w:hAnsi="Calibri"/>
                <w:sz w:val="18"/>
              </w:rPr>
            </w:r>
            <w:r>
              <w:rPr>
                <w:rFonts w:ascii="Calibri" w:hAnsi="Calibri"/>
                <w:b w:val="0"/>
                <w:color w:val="1F2937"/>
                <w:sz w:val="18"/>
              </w:rPr>
              <w:t>Les interets sont constates au depart selon le montage prevu; ils doivent etre traces comme mouvement distinct.</w:t>
            </w:r>
          </w:p>
        </w:tc>
        <w:tc>
          <w:tcPr>
            <w:tcW w:type="dxa" w:w="3120"/>
            <w:vAlign w:val="center"/>
          </w:tcPr>
          <w:p>
            <w:pPr>
              <w:spacing w:after="40"/>
            </w:pPr>
            <w:r>
              <w:rPr>
                <w:rFonts w:ascii="Calibri" w:hAnsi="Calibri"/>
                <w:sz w:val="18"/>
              </w:rPr>
            </w:r>
            <w:r>
              <w:rPr>
                <w:rFonts w:ascii="Calibri" w:hAnsi="Calibri"/>
                <w:b w:val="0"/>
                <w:color w:val="1F2937"/>
                <w:sz w:val="18"/>
              </w:rPr>
              <w:t>Le client voit l'effet financier des le demarrage.</w:t>
            </w:r>
          </w:p>
        </w:tc>
      </w:tr>
      <w:tr>
        <w:tc>
          <w:tcPr>
            <w:tcW w:type="dxa" w:w="3120"/>
            <w:vAlign w:val="center"/>
          </w:tcPr>
          <w:p>
            <w:pPr>
              <w:spacing w:after="40"/>
            </w:pPr>
            <w:r>
              <w:rPr>
                <w:rFonts w:ascii="Calibri" w:hAnsi="Calibri"/>
                <w:sz w:val="18"/>
              </w:rPr>
            </w:r>
            <w:r>
              <w:rPr>
                <w:rFonts w:ascii="Calibri" w:hAnsi="Calibri"/>
                <w:b/>
                <w:color w:val="1F2937"/>
                <w:sz w:val="18"/>
              </w:rPr>
              <w:t>Mensuel exceptionnel</w:t>
            </w:r>
          </w:p>
        </w:tc>
        <w:tc>
          <w:tcPr>
            <w:tcW w:type="dxa" w:w="3120"/>
            <w:vAlign w:val="center"/>
          </w:tcPr>
          <w:p>
            <w:pPr>
              <w:spacing w:after="40"/>
            </w:pPr>
            <w:r>
              <w:rPr>
                <w:rFonts w:ascii="Calibri" w:hAnsi="Calibri"/>
                <w:sz w:val="18"/>
              </w:rPr>
            </w:r>
            <w:r>
              <w:rPr>
                <w:rFonts w:ascii="Calibri" w:hAnsi="Calibri"/>
                <w:b w:val="0"/>
                <w:color w:val="1F2937"/>
                <w:sz w:val="18"/>
              </w:rPr>
              <w:t>Les interets du mois doivent etre mis en liquidite automatiquement a la date mensuelle prevue si aucune saisie manuelle n'est faite.</w:t>
            </w:r>
          </w:p>
        </w:tc>
        <w:tc>
          <w:tcPr>
            <w:tcW w:type="dxa" w:w="3120"/>
            <w:vAlign w:val="center"/>
          </w:tcPr>
          <w:p>
            <w:pPr>
              <w:spacing w:after="40"/>
            </w:pPr>
            <w:r>
              <w:rPr>
                <w:rFonts w:ascii="Calibri" w:hAnsi="Calibri"/>
                <w:sz w:val="18"/>
              </w:rPr>
            </w:r>
            <w:r>
              <w:rPr>
                <w:rFonts w:ascii="Calibri" w:hAnsi="Calibri"/>
                <w:b w:val="0"/>
                <w:color w:val="1F2937"/>
                <w:sz w:val="18"/>
              </w:rPr>
              <w:t>Le client voit la liquidite mensuelle et le releve doit la reprendre.</w:t>
            </w:r>
          </w:p>
        </w:tc>
      </w:tr>
    </w:tbl>
    <w:tbl>
      <w:tblPr>
        <w:tblStyle w:val="TableGrid"/>
        <w:tblW w:type="auto" w:w="0"/>
        <w:tblLayout w:type="fixed"/>
        <w:tblLook w:firstColumn="1" w:firstRow="1" w:lastColumn="0" w:lastRow="0" w:noHBand="0" w:noVBand="1" w:val="04A0"/>
      </w:tblPr>
      <w:tblGrid>
        <w:gridCol w:w="9072"/>
      </w:tblGrid>
      <w:tr>
        <w:tc>
          <w:tcPr>
            <w:tcW w:type="dxa" w:w="9360"/>
            <w:shd w:fill="FFF4CC"/>
          </w:tcPr>
          <w:p>
            <w:pPr>
              <w:spacing w:after="40"/>
            </w:pPr>
            <w:r>
              <w:rPr>
                <w:b/>
                <w:color w:val="0B2545"/>
                <w:sz w:val="19"/>
              </w:rPr>
              <w:t xml:space="preserve">Important. </w:t>
            </w:r>
            <w:r>
              <w:rPr>
                <w:rFonts w:ascii="Calibri" w:hAnsi="Calibri"/>
                <w:color w:val="1F2937"/>
                <w:sz w:val="19"/>
              </w:rPr>
              <w:t>Principe de preuve: une liquidite n'est pas un paiement. Elle prouve qu'un montant est exigible ou disponible. Le paiement est prouve uniquement par une ecriture de paiement avec date, methode, reference et justificatif.</w:t>
            </w:r>
          </w:p>
        </w:tc>
      </w:tr>
    </w:tbl>
    <w:p/>
    <w:p>
      <w:pPr>
        <w:pStyle w:val="Heading1"/>
      </w:pPr>
      <w:r>
        <w:t>11. Valorisation mensuelle</w:t>
      </w:r>
    </w:p>
    <w:p>
      <w:pPr>
        <w:spacing w:after="160"/>
      </w:pPr>
      <w:r>
        <w:t>La date de valorisation mensuelle affichee a la date N doit etre le dernier jour du mois. Exemple: pour les releves de juin, la valorisation de reference du mois precedent est le 30/06 si le mois est juin, ou le 31/05 pour une campagne d'envoi debut juin.</w:t>
      </w:r>
    </w:p>
    <w:p>
      <w:pPr>
        <w:pStyle w:val="ListBullet"/>
        <w:spacing w:after="80"/>
      </w:pPr>
      <w:r>
        <w:rPr>
          <w:rFonts w:ascii="Calibri" w:hAnsi="Calibri"/>
          <w:sz w:val="21"/>
        </w:rPr>
        <w:t>Par defaut, la valorisation est arretee au dernier jour du mois.</w:t>
      </w:r>
    </w:p>
    <w:p>
      <w:pPr>
        <w:pStyle w:val="ListBullet"/>
        <w:spacing w:after="80"/>
      </w:pPr>
      <w:r>
        <w:rPr>
          <w:rFonts w:ascii="Calibri" w:hAnsi="Calibri"/>
          <w:sz w:val="21"/>
        </w:rPr>
        <w:t>Si un PMG expire pendant le mois et qu'il est seul dans le releve concerne, sa valorisation s'arrete a la date de fin de mandat.</w:t>
      </w:r>
    </w:p>
    <w:p>
      <w:pPr>
        <w:pStyle w:val="ListBullet"/>
        <w:spacing w:after="80"/>
      </w:pPr>
      <w:r>
        <w:rPr>
          <w:rFonts w:ascii="Calibri" w:hAnsi="Calibri"/>
          <w:sz w:val="21"/>
        </w:rPr>
        <w:t>Si le PMG expire au cours du mois mais figure avec d'autres produits du client, la vue portefeuille globale conserve le dernier jour du mois pour l'ensemble.</w:t>
      </w:r>
    </w:p>
    <w:p>
      <w:pPr>
        <w:pStyle w:val="ListBullet"/>
        <w:spacing w:after="80"/>
      </w:pPr>
      <w:r>
        <w:rPr>
          <w:rFonts w:ascii="Calibri" w:hAnsi="Calibri"/>
          <w:sz w:val="21"/>
        </w:rPr>
        <w:t>Entre le 1er et le 5 du mois suivant, les produits a relever doivent rester visibles pour permettre l'envoi des releves meme si une expiration est intervenue.</w:t>
      </w:r>
    </w:p>
    <w:p>
      <w:pPr>
        <w:pStyle w:val="ListBullet"/>
        <w:spacing w:after="80"/>
      </w:pPr>
      <w:r>
        <w:rPr>
          <w:rFonts w:ascii="Calibri" w:hAnsi="Calibri"/>
          <w:sz w:val="21"/>
        </w:rPr>
        <w:t>Un placement effectue le dernier jour du mois doit etre pris en compte si sa date d'effet est dans la periode valorisee.</w:t>
      </w:r>
    </w:p>
    <w:p>
      <w:pPr>
        <w:pStyle w:val="Heading1"/>
      </w:pPr>
      <w:r>
        <w:t>12. Regles FCP et valeurs liquidatives</w:t>
      </w:r>
    </w:p>
    <w:p>
      <w:pPr>
        <w:spacing w:after="160"/>
      </w:pPr>
      <w:r>
        <w:t>Pour les FCP, le calcul doit utiliser toutes les decimales disponibles de la valeur liquidative et du nombre de parts. L'arrondi a deux decimales ne sert qu'a l'affichage client.</w:t>
      </w:r>
    </w:p>
    <w:p>
      <w:pPr>
        <w:spacing w:before="80" w:after="40"/>
        <w:jc w:val="center"/>
      </w:pPr>
      <w:r>
        <w:drawing>
          <wp:inline xmlns:a="http://schemas.openxmlformats.org/drawingml/2006/main" xmlns:pic="http://schemas.openxmlformats.org/drawingml/2006/picture">
            <wp:extent cx="5806440" cy="3266920"/>
            <wp:docPr id="9" name="Picture 9"/>
            <wp:cNvGraphicFramePr>
              <a:graphicFrameLocks noChangeAspect="1"/>
            </wp:cNvGraphicFramePr>
            <a:graphic>
              <a:graphicData uri="http://schemas.openxmlformats.org/drawingml/2006/picture">
                <pic:pic>
                  <pic:nvPicPr>
                    <pic:cNvPr id="0" name="09-valeurs-liquidatives.png"/>
                    <pic:cNvPicPr/>
                  </pic:nvPicPr>
                  <pic:blipFill>
                    <a:blip r:embed="rId19"/>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Ecran de suivi des valeurs liquidatives.</w:t>
      </w:r>
    </w:p>
    <w:p>
      <w:pPr>
        <w:pStyle w:val="ListBullet"/>
        <w:spacing w:after="80"/>
      </w:pPr>
      <w:r>
        <w:rPr>
          <w:rFonts w:ascii="Calibri" w:hAnsi="Calibri"/>
          <w:sz w:val="21"/>
        </w:rPr>
        <w:t>Calcul interne: nombre de parts exact x VL exacte, sans tronquer les decimales.</w:t>
      </w:r>
    </w:p>
    <w:p>
      <w:pPr>
        <w:pStyle w:val="ListBullet"/>
        <w:spacing w:after="80"/>
      </w:pPr>
      <w:r>
        <w:rPr>
          <w:rFonts w:ascii="Calibri" w:hAnsi="Calibri"/>
          <w:sz w:val="21"/>
        </w:rPr>
        <w:t>Affichage client: montant presente avec deux chiffres apres la virgule.</w:t>
      </w:r>
    </w:p>
    <w:p>
      <w:pPr>
        <w:pStyle w:val="ListBullet"/>
        <w:spacing w:after="80"/>
      </w:pPr>
      <w:r>
        <w:rPr>
          <w:rFonts w:ascii="Calibri" w:hAnsi="Calibri"/>
          <w:sz w:val="21"/>
        </w:rPr>
        <w:t>Controle: comparer les calculs au centime avant envoi des releves.</w:t>
      </w:r>
    </w:p>
    <w:p>
      <w:pPr>
        <w:pStyle w:val="ListBullet"/>
        <w:spacing w:after="80"/>
      </w:pPr>
      <w:r>
        <w:rPr>
          <w:rFonts w:ascii="Calibri" w:hAnsi="Calibri"/>
          <w:sz w:val="21"/>
        </w:rPr>
        <w:t>Anomalie typique: une VL arrondie trop tot peut creer un ecart visible sur les gros portefeuilles.</w:t>
      </w:r>
    </w:p>
    <w:p>
      <w:pPr>
        <w:pStyle w:val="Heading1"/>
      </w:pPr>
      <w:r>
        <w:t>13. Releves clients PMG et FCP</w:t>
      </w:r>
    </w:p>
    <w:p>
      <w:pPr>
        <w:spacing w:after="160"/>
      </w:pPr>
      <w:r>
        <w:t>Les releves sont generes a partir des portefeuilles, gains et liquidites visibles dans la periode de campagne. La liste d'envoi ne doit pas etre confondue avec le simple nombre de clients actifs.</w:t>
      </w:r>
    </w:p>
    <w:p>
      <w:pPr>
        <w:spacing w:before="80" w:after="40"/>
        <w:jc w:val="center"/>
      </w:pPr>
      <w:r>
        <w:drawing>
          <wp:inline xmlns:a="http://schemas.openxmlformats.org/drawingml/2006/main" xmlns:pic="http://schemas.openxmlformats.org/drawingml/2006/picture">
            <wp:extent cx="5806440" cy="3266920"/>
            <wp:docPr id="10" name="Picture 10"/>
            <wp:cNvGraphicFramePr>
              <a:graphicFrameLocks noChangeAspect="1"/>
            </wp:cNvGraphicFramePr>
            <a:graphic>
              <a:graphicData uri="http://schemas.openxmlformats.org/drawingml/2006/picture">
                <pic:pic>
                  <pic:nvPicPr>
                    <pic:cNvPr id="0" name="07-releves-pmg.png"/>
                    <pic:cNvPicPr/>
                  </pic:nvPicPr>
                  <pic:blipFill>
                    <a:blip r:embed="rId20"/>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Liste de generation et d'envoi des releves PMG.</w:t>
      </w:r>
    </w:p>
    <w:p>
      <w:pPr>
        <w:spacing w:before="80" w:after="40"/>
        <w:jc w:val="center"/>
      </w:pPr>
      <w:r>
        <w:drawing>
          <wp:inline xmlns:a="http://schemas.openxmlformats.org/drawingml/2006/main" xmlns:pic="http://schemas.openxmlformats.org/drawingml/2006/picture">
            <wp:extent cx="5806440" cy="3266920"/>
            <wp:docPr id="11" name="Picture 11"/>
            <wp:cNvGraphicFramePr>
              <a:graphicFrameLocks noChangeAspect="1"/>
            </wp:cNvGraphicFramePr>
            <a:graphic>
              <a:graphicData uri="http://schemas.openxmlformats.org/drawingml/2006/picture">
                <pic:pic>
                  <pic:nvPicPr>
                    <pic:cNvPr id="0" name="08-releves-fcp.png"/>
                    <pic:cNvPicPr/>
                  </pic:nvPicPr>
                  <pic:blipFill>
                    <a:blip r:embed="rId21"/>
                    <a:stretch>
                      <a:fillRect/>
                    </a:stretch>
                  </pic:blipFill>
                  <pic:spPr>
                    <a:xfrm>
                      <a:off x="0" y="0"/>
                      <a:ext cx="5806440" cy="3266920"/>
                    </a:xfrm>
                    <a:prstGeom prst="rect"/>
                  </pic:spPr>
                </pic:pic>
              </a:graphicData>
            </a:graphic>
          </wp:inline>
        </w:drawing>
      </w:r>
    </w:p>
    <w:p>
      <w:pPr>
        <w:spacing w:after="160"/>
        <w:jc w:val="center"/>
      </w:pPr>
      <w:r>
        <w:rPr>
          <w:rFonts w:ascii="Calibri" w:hAnsi="Calibri"/>
          <w:i/>
          <w:color w:val="64748B"/>
          <w:sz w:val="18"/>
        </w:rPr>
        <w:t>Liste de generation et d'envoi des releves FCP.</w:t>
      </w:r>
    </w:p>
    <w:p>
      <w:pPr>
        <w:pStyle w:val="ListNumber"/>
        <w:spacing w:after="80"/>
      </w:pPr>
      <w:r>
        <w:rPr>
          <w:rFonts w:ascii="Calibri" w:hAnsi="Calibri"/>
          <w:sz w:val="21"/>
        </w:rPr>
        <w:t>Ouvrir la liste des releves PMG ou FCP.</w:t>
      </w:r>
    </w:p>
    <w:p>
      <w:pPr>
        <w:pStyle w:val="ListNumber"/>
        <w:spacing w:after="80"/>
      </w:pPr>
      <w:r>
        <w:rPr>
          <w:rFonts w:ascii="Calibri" w:hAnsi="Calibri"/>
          <w:sz w:val="21"/>
        </w:rPr>
        <w:t>Verifier les clients coches et les montants affiches.</w:t>
      </w:r>
    </w:p>
    <w:p>
      <w:pPr>
        <w:pStyle w:val="ListNumber"/>
        <w:spacing w:after="80"/>
      </w:pPr>
      <w:r>
        <w:rPr>
          <w:rFonts w:ascii="Calibri" w:hAnsi="Calibri"/>
          <w:sz w:val="21"/>
        </w:rPr>
        <w:t>Previsualiser les releves sensibles ou ceux avec montant a zero.</w:t>
      </w:r>
    </w:p>
    <w:p>
      <w:pPr>
        <w:pStyle w:val="ListNumber"/>
        <w:spacing w:after="80"/>
      </w:pPr>
      <w:r>
        <w:rPr>
          <w:rFonts w:ascii="Calibri" w:hAnsi="Calibri"/>
          <w:sz w:val="21"/>
        </w:rPr>
        <w:t>Corriger les anomalies de donnees avant envoi.</w:t>
      </w:r>
    </w:p>
    <w:p>
      <w:pPr>
        <w:pStyle w:val="ListNumber"/>
        <w:spacing w:after="80"/>
      </w:pPr>
      <w:r>
        <w:rPr>
          <w:rFonts w:ascii="Calibri" w:hAnsi="Calibri"/>
          <w:sz w:val="21"/>
        </w:rPr>
        <w:t>Generer et envoyer les releves uniquement apres validation des montants.</w:t>
      </w:r>
    </w:p>
    <w:tbl>
      <w:tblPr>
        <w:tblStyle w:val="TableGrid"/>
        <w:tblW w:type="auto" w:w="0"/>
        <w:tblLayout w:type="fixed"/>
        <w:tblLook w:firstColumn="1" w:firstRow="1" w:lastColumn="0" w:lastRow="0" w:noHBand="0" w:noVBand="1" w:val="04A0"/>
      </w:tblPr>
      <w:tblGrid>
        <w:gridCol w:w="9072"/>
      </w:tblGrid>
      <w:tr>
        <w:tc>
          <w:tcPr>
            <w:tcW w:type="dxa" w:w="9360"/>
            <w:shd w:fill="FFF4CC"/>
          </w:tcPr>
          <w:p>
            <w:pPr>
              <w:spacing w:after="40"/>
            </w:pPr>
            <w:r>
              <w:rPr>
                <w:b/>
                <w:color w:val="0B2545"/>
                <w:sz w:val="19"/>
              </w:rPr>
              <w:t xml:space="preserve">Controle releves. </w:t>
            </w:r>
            <w:r>
              <w:rPr>
                <w:rFonts w:ascii="Calibri" w:hAnsi="Calibri"/>
                <w:color w:val="1F2937"/>
                <w:sz w:val="19"/>
              </w:rPr>
              <w:t>Les valeurs nulles dans la liste d'envoi indiquent souvent un client inclus dans le perimetre mais sans portefeuille valorisable dans la periode courante, ou un filtre qui retient le client pour historique/releve sans montant actif. Ces lignes doivent etre verifiees avant envoi.</w:t>
            </w:r>
          </w:p>
        </w:tc>
      </w:tr>
    </w:tbl>
    <w:p/>
    <w:p>
      <w:pPr>
        <w:pStyle w:val="Heading1"/>
      </w:pPr>
      <w:r>
        <w:t>14. Paiements, liquidites et preuve</w:t>
      </w:r>
    </w:p>
    <w:p>
      <w:pPr>
        <w:spacing w:after="160"/>
      </w:pPr>
      <w:r>
        <w:t>La plateforme doit distinguer trois etats: montant investi, liquidite disponible, paiement effectue. Le passage en liquidite ne signifie pas que le client a ete paye.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340"/>
            <w:vAlign w:val="center"/>
            <w:shd w:fill="E8EEF5"/>
          </w:tcPr>
          <w:p>
            <w:pPr>
              <w:spacing w:after="40"/>
            </w:pPr>
            <w:r>
              <w:rPr>
                <w:rFonts w:ascii="Calibri" w:hAnsi="Calibri"/>
                <w:b/>
                <w:color w:val="1F2937"/>
                <w:sz w:val="18"/>
              </w:rPr>
            </w:r>
            <w:r>
              <w:rPr>
                <w:rFonts w:ascii="Calibri" w:hAnsi="Calibri"/>
                <w:b/>
                <w:color w:val="1F2937"/>
                <w:sz w:val="18"/>
              </w:rPr>
              <w:t>Etat</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Ce que cela prouve</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Ecriture attendue</w:t>
            </w:r>
          </w:p>
        </w:tc>
        <w:tc>
          <w:tcPr>
            <w:tcW w:type="dxa" w:w="2340"/>
            <w:vAlign w:val="center"/>
            <w:shd w:fill="E8EEF5"/>
          </w:tcPr>
          <w:p>
            <w:pPr>
              <w:spacing w:after="40"/>
            </w:pPr>
            <w:r>
              <w:rPr>
                <w:rFonts w:ascii="Calibri" w:hAnsi="Calibri"/>
                <w:b/>
                <w:color w:val="1F2937"/>
                <w:sz w:val="18"/>
              </w:rPr>
            </w:r>
            <w:r>
              <w:rPr>
                <w:rFonts w:ascii="Calibri" w:hAnsi="Calibri"/>
                <w:b/>
                <w:color w:val="1F2937"/>
                <w:sz w:val="18"/>
              </w:rPr>
              <w:t>Piece attendue</w:t>
            </w:r>
          </w:p>
        </w:tc>
      </w:tr>
      <w:tr>
        <w:tc>
          <w:tcPr>
            <w:tcW w:type="dxa" w:w="2340"/>
            <w:vAlign w:val="center"/>
          </w:tcPr>
          <w:p>
            <w:pPr>
              <w:spacing w:after="40"/>
            </w:pPr>
            <w:r>
              <w:rPr>
                <w:rFonts w:ascii="Calibri" w:hAnsi="Calibri"/>
                <w:sz w:val="18"/>
              </w:rPr>
            </w:r>
            <w:r>
              <w:rPr>
                <w:rFonts w:ascii="Calibri" w:hAnsi="Calibri"/>
                <w:b/>
                <w:color w:val="1F2937"/>
                <w:sz w:val="18"/>
              </w:rPr>
              <w:t>Placement actif</w:t>
            </w:r>
          </w:p>
        </w:tc>
        <w:tc>
          <w:tcPr>
            <w:tcW w:type="dxa" w:w="2340"/>
            <w:vAlign w:val="center"/>
          </w:tcPr>
          <w:p>
            <w:pPr>
              <w:spacing w:after="40"/>
            </w:pPr>
            <w:r>
              <w:rPr>
                <w:rFonts w:ascii="Calibri" w:hAnsi="Calibri"/>
                <w:sz w:val="18"/>
              </w:rPr>
            </w:r>
            <w:r>
              <w:rPr>
                <w:rFonts w:ascii="Calibri" w:hAnsi="Calibri"/>
                <w:b w:val="0"/>
                <w:color w:val="1F2937"/>
                <w:sz w:val="18"/>
              </w:rPr>
              <w:t>Le capital travaille encore.</w:t>
            </w:r>
          </w:p>
        </w:tc>
        <w:tc>
          <w:tcPr>
            <w:tcW w:type="dxa" w:w="2340"/>
            <w:vAlign w:val="center"/>
          </w:tcPr>
          <w:p>
            <w:pPr>
              <w:spacing w:after="40"/>
            </w:pPr>
            <w:r>
              <w:rPr>
                <w:rFonts w:ascii="Calibri" w:hAnsi="Calibri"/>
                <w:sz w:val="18"/>
              </w:rPr>
            </w:r>
            <w:r>
              <w:rPr>
                <w:rFonts w:ascii="Calibri" w:hAnsi="Calibri"/>
                <w:b w:val="0"/>
                <w:color w:val="1F2937"/>
                <w:sz w:val="18"/>
              </w:rPr>
              <w:t>Placement PMG/FCP.</w:t>
            </w:r>
          </w:p>
        </w:tc>
        <w:tc>
          <w:tcPr>
            <w:tcW w:type="dxa" w:w="2340"/>
            <w:vAlign w:val="center"/>
          </w:tcPr>
          <w:p>
            <w:pPr>
              <w:spacing w:after="40"/>
            </w:pPr>
            <w:r>
              <w:rPr>
                <w:rFonts w:ascii="Calibri" w:hAnsi="Calibri"/>
                <w:sz w:val="18"/>
              </w:rPr>
            </w:r>
            <w:r>
              <w:rPr>
                <w:rFonts w:ascii="Calibri" w:hAnsi="Calibri"/>
                <w:b w:val="0"/>
                <w:color w:val="1F2937"/>
                <w:sz w:val="18"/>
              </w:rPr>
              <w:t>Contrat ou mandat.</w:t>
            </w:r>
          </w:p>
        </w:tc>
      </w:tr>
      <w:tr>
        <w:tc>
          <w:tcPr>
            <w:tcW w:type="dxa" w:w="2340"/>
            <w:vAlign w:val="center"/>
          </w:tcPr>
          <w:p>
            <w:pPr>
              <w:spacing w:after="40"/>
            </w:pPr>
            <w:r>
              <w:rPr>
                <w:rFonts w:ascii="Calibri" w:hAnsi="Calibri"/>
                <w:sz w:val="18"/>
              </w:rPr>
            </w:r>
            <w:r>
              <w:rPr>
                <w:rFonts w:ascii="Calibri" w:hAnsi="Calibri"/>
                <w:b/>
                <w:color w:val="1F2937"/>
                <w:sz w:val="18"/>
              </w:rPr>
              <w:t>Liquidite interets</w:t>
            </w:r>
          </w:p>
        </w:tc>
        <w:tc>
          <w:tcPr>
            <w:tcW w:type="dxa" w:w="2340"/>
            <w:vAlign w:val="center"/>
          </w:tcPr>
          <w:p>
            <w:pPr>
              <w:spacing w:after="40"/>
            </w:pPr>
            <w:r>
              <w:rPr>
                <w:rFonts w:ascii="Calibri" w:hAnsi="Calibri"/>
                <w:sz w:val="18"/>
              </w:rPr>
            </w:r>
            <w:r>
              <w:rPr>
                <w:rFonts w:ascii="Calibri" w:hAnsi="Calibri"/>
                <w:b w:val="0"/>
                <w:color w:val="1F2937"/>
                <w:sz w:val="18"/>
              </w:rPr>
              <w:t>Les interets sont exigibles mais non payes.</w:t>
            </w:r>
          </w:p>
        </w:tc>
        <w:tc>
          <w:tcPr>
            <w:tcW w:type="dxa" w:w="2340"/>
            <w:vAlign w:val="center"/>
          </w:tcPr>
          <w:p>
            <w:pPr>
              <w:spacing w:after="40"/>
            </w:pPr>
            <w:r>
              <w:rPr>
                <w:rFonts w:ascii="Calibri" w:hAnsi="Calibri"/>
                <w:sz w:val="18"/>
              </w:rPr>
            </w:r>
            <w:r>
              <w:rPr>
                <w:rFonts w:ascii="Calibri" w:hAnsi="Calibri"/>
                <w:b w:val="0"/>
                <w:color w:val="1F2937"/>
                <w:sz w:val="18"/>
              </w:rPr>
              <w:t>liquidite_interets.</w:t>
            </w:r>
          </w:p>
        </w:tc>
        <w:tc>
          <w:tcPr>
            <w:tcW w:type="dxa" w:w="2340"/>
            <w:vAlign w:val="center"/>
          </w:tcPr>
          <w:p>
            <w:pPr>
              <w:spacing w:after="40"/>
            </w:pPr>
            <w:r>
              <w:rPr>
                <w:rFonts w:ascii="Calibri" w:hAnsi="Calibri"/>
                <w:sz w:val="18"/>
              </w:rPr>
            </w:r>
            <w:r>
              <w:rPr>
                <w:rFonts w:ascii="Calibri" w:hAnsi="Calibri"/>
                <w:b w:val="0"/>
                <w:color w:val="1F2937"/>
                <w:sz w:val="18"/>
              </w:rPr>
              <w:t>Calcul et releve.</w:t>
            </w:r>
          </w:p>
        </w:tc>
      </w:tr>
      <w:tr>
        <w:tc>
          <w:tcPr>
            <w:tcW w:type="dxa" w:w="2340"/>
            <w:vAlign w:val="center"/>
          </w:tcPr>
          <w:p>
            <w:pPr>
              <w:spacing w:after="40"/>
            </w:pPr>
            <w:r>
              <w:rPr>
                <w:rFonts w:ascii="Calibri" w:hAnsi="Calibri"/>
                <w:sz w:val="18"/>
              </w:rPr>
            </w:r>
            <w:r>
              <w:rPr>
                <w:rFonts w:ascii="Calibri" w:hAnsi="Calibri"/>
                <w:b/>
                <w:color w:val="1F2937"/>
                <w:sz w:val="18"/>
              </w:rPr>
              <w:t>Liquidite capital</w:t>
            </w:r>
          </w:p>
        </w:tc>
        <w:tc>
          <w:tcPr>
            <w:tcW w:type="dxa" w:w="2340"/>
            <w:vAlign w:val="center"/>
          </w:tcPr>
          <w:p>
            <w:pPr>
              <w:spacing w:after="40"/>
            </w:pPr>
            <w:r>
              <w:rPr>
                <w:rFonts w:ascii="Calibri" w:hAnsi="Calibri"/>
                <w:sz w:val="18"/>
              </w:rPr>
            </w:r>
            <w:r>
              <w:rPr>
                <w:rFonts w:ascii="Calibri" w:hAnsi="Calibri"/>
                <w:b w:val="0"/>
                <w:color w:val="1F2937"/>
                <w:sz w:val="18"/>
              </w:rPr>
              <w:t>Le capital est sorti du mandat mais non rembourse.</w:t>
            </w:r>
          </w:p>
        </w:tc>
        <w:tc>
          <w:tcPr>
            <w:tcW w:type="dxa" w:w="2340"/>
            <w:vAlign w:val="center"/>
          </w:tcPr>
          <w:p>
            <w:pPr>
              <w:spacing w:after="40"/>
            </w:pPr>
            <w:r>
              <w:rPr>
                <w:rFonts w:ascii="Calibri" w:hAnsi="Calibri"/>
                <w:sz w:val="18"/>
              </w:rPr>
            </w:r>
            <w:r>
              <w:rPr>
                <w:rFonts w:ascii="Calibri" w:hAnsi="Calibri"/>
                <w:b w:val="0"/>
                <w:color w:val="1F2937"/>
                <w:sz w:val="18"/>
              </w:rPr>
              <w:t>liquidite_capital.</w:t>
            </w:r>
          </w:p>
        </w:tc>
        <w:tc>
          <w:tcPr>
            <w:tcW w:type="dxa" w:w="2340"/>
            <w:vAlign w:val="center"/>
          </w:tcPr>
          <w:p>
            <w:pPr>
              <w:spacing w:after="40"/>
            </w:pPr>
            <w:r>
              <w:rPr>
                <w:rFonts w:ascii="Calibri" w:hAnsi="Calibri"/>
                <w:sz w:val="18"/>
              </w:rPr>
            </w:r>
            <w:r>
              <w:rPr>
                <w:rFonts w:ascii="Calibri" w:hAnsi="Calibri"/>
                <w:b w:val="0"/>
                <w:color w:val="1F2937"/>
                <w:sz w:val="18"/>
              </w:rPr>
              <w:t>Echeance ou decision de sortie.</w:t>
            </w:r>
          </w:p>
        </w:tc>
      </w:tr>
      <w:tr>
        <w:tc>
          <w:tcPr>
            <w:tcW w:type="dxa" w:w="2340"/>
            <w:vAlign w:val="center"/>
          </w:tcPr>
          <w:p>
            <w:pPr>
              <w:spacing w:after="40"/>
            </w:pPr>
            <w:r>
              <w:rPr>
                <w:rFonts w:ascii="Calibri" w:hAnsi="Calibri"/>
                <w:sz w:val="18"/>
              </w:rPr>
            </w:r>
            <w:r>
              <w:rPr>
                <w:rFonts w:ascii="Calibri" w:hAnsi="Calibri"/>
                <w:b/>
                <w:color w:val="1F2937"/>
                <w:sz w:val="18"/>
              </w:rPr>
              <w:t>Paiement client</w:t>
            </w:r>
          </w:p>
        </w:tc>
        <w:tc>
          <w:tcPr>
            <w:tcW w:type="dxa" w:w="2340"/>
            <w:vAlign w:val="center"/>
          </w:tcPr>
          <w:p>
            <w:pPr>
              <w:spacing w:after="40"/>
            </w:pPr>
            <w:r>
              <w:rPr>
                <w:rFonts w:ascii="Calibri" w:hAnsi="Calibri"/>
                <w:sz w:val="18"/>
              </w:rPr>
            </w:r>
            <w:r>
              <w:rPr>
                <w:rFonts w:ascii="Calibri" w:hAnsi="Calibri"/>
                <w:b w:val="0"/>
                <w:color w:val="1F2937"/>
                <w:sz w:val="18"/>
              </w:rPr>
              <w:t>Le client a effectivement ete paye.</w:t>
            </w:r>
          </w:p>
        </w:tc>
        <w:tc>
          <w:tcPr>
            <w:tcW w:type="dxa" w:w="2340"/>
            <w:vAlign w:val="center"/>
          </w:tcPr>
          <w:p>
            <w:pPr>
              <w:spacing w:after="40"/>
            </w:pPr>
            <w:r>
              <w:rPr>
                <w:rFonts w:ascii="Calibri" w:hAnsi="Calibri"/>
                <w:sz w:val="18"/>
              </w:rPr>
            </w:r>
            <w:r>
              <w:rPr>
                <w:rFonts w:ascii="Calibri" w:hAnsi="Calibri"/>
                <w:b w:val="0"/>
                <w:color w:val="1F2937"/>
                <w:sz w:val="18"/>
              </w:rPr>
              <w:t>payment/remboursement avec reference.</w:t>
            </w:r>
          </w:p>
        </w:tc>
        <w:tc>
          <w:tcPr>
            <w:tcW w:type="dxa" w:w="2340"/>
            <w:vAlign w:val="center"/>
          </w:tcPr>
          <w:p>
            <w:pPr>
              <w:spacing w:after="40"/>
            </w:pPr>
            <w:r>
              <w:rPr>
                <w:rFonts w:ascii="Calibri" w:hAnsi="Calibri"/>
                <w:sz w:val="18"/>
              </w:rPr>
            </w:r>
            <w:r>
              <w:rPr>
                <w:rFonts w:ascii="Calibri" w:hAnsi="Calibri"/>
                <w:b w:val="0"/>
                <w:color w:val="1F2937"/>
                <w:sz w:val="18"/>
              </w:rPr>
              <w:t>Justificatif bancaire ou preuve de virement.</w:t>
            </w:r>
          </w:p>
        </w:tc>
      </w:tr>
    </w:tbl>
    <w:p>
      <w:pPr>
        <w:pStyle w:val="ListBullet"/>
        <w:spacing w:after="80"/>
      </w:pPr>
      <w:r>
        <w:rPr>
          <w:rFonts w:ascii="Calibri" w:hAnsi="Calibri"/>
          <w:sz w:val="21"/>
        </w:rPr>
        <w:t>A l'echeance PMG, le capital et les interets doivent passer en liquidite si le paiement n'est pas immediat.</w:t>
      </w:r>
    </w:p>
    <w:p>
      <w:pPr>
        <w:pStyle w:val="ListBullet"/>
        <w:spacing w:after="80"/>
      </w:pPr>
      <w:r>
        <w:rPr>
          <w:rFonts w:ascii="Calibri" w:hAnsi="Calibri"/>
          <w:sz w:val="21"/>
        </w:rPr>
        <w:t>Le paiement des interets seul diminue la liquidite interets.</w:t>
      </w:r>
    </w:p>
    <w:p>
      <w:pPr>
        <w:pStyle w:val="ListBullet"/>
        <w:spacing w:after="80"/>
      </w:pPr>
      <w:r>
        <w:rPr>
          <w:rFonts w:ascii="Calibri" w:hAnsi="Calibri"/>
          <w:sz w:val="21"/>
        </w:rPr>
        <w:t>Le paiement capital + interets diminue les deux liquidites concernees.</w:t>
      </w:r>
    </w:p>
    <w:p>
      <w:pPr>
        <w:pStyle w:val="ListBullet"/>
        <w:spacing w:after="80"/>
      </w:pPr>
      <w:r>
        <w:rPr>
          <w:rFonts w:ascii="Calibri" w:hAnsi="Calibri"/>
          <w:sz w:val="21"/>
        </w:rPr>
        <w:t>La preuve de paiement doit inclure la date, la methode, la reference et le justificatif.</w:t>
      </w:r>
    </w:p>
    <w:p>
      <w:pPr>
        <w:pStyle w:val="ListBullet"/>
        <w:spacing w:after="80"/>
      </w:pPr>
      <w:r>
        <w:rPr>
          <w:rFonts w:ascii="Calibri" w:hAnsi="Calibri"/>
          <w:sz w:val="21"/>
        </w:rPr>
        <w:t>Sans ecriture de paiement prouvee, la plateforme doit considerer que le client n'a pas encore ete paye.</w:t>
      </w:r>
    </w:p>
    <w:p>
      <w:pPr>
        <w:pStyle w:val="Heading1"/>
      </w:pPr>
      <w:r>
        <w:t>15. Compliance, Backoffice, DG, Admin et CRM</w:t>
      </w:r>
    </w:p>
    <w:p>
      <w:pPr>
        <w:spacing w:after="160"/>
      </w:pPr>
      <w:r>
        <w:t>Ces espaces servent a separer l'exploitation, le controle, la validation et le pilotage. Cette separation est importante pour la securite et l'audit.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vAlign w:val="center"/>
            <w:shd w:fill="E8EEF5"/>
          </w:tcPr>
          <w:p>
            <w:pPr>
              <w:spacing w:after="40"/>
            </w:pPr>
            <w:r>
              <w:rPr>
                <w:rFonts w:ascii="Calibri" w:hAnsi="Calibri"/>
                <w:b/>
                <w:color w:val="1F2937"/>
                <w:sz w:val="18"/>
              </w:rPr>
            </w:r>
            <w:r>
              <w:rPr>
                <w:rFonts w:ascii="Calibri" w:hAnsi="Calibri"/>
                <w:b/>
                <w:color w:val="1F2937"/>
                <w:sz w:val="18"/>
              </w:rPr>
              <w:t>Espace</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Actions principales</w:t>
            </w:r>
          </w:p>
        </w:tc>
        <w:tc>
          <w:tcPr>
            <w:tcW w:type="dxa" w:w="3120"/>
            <w:vAlign w:val="center"/>
            <w:shd w:fill="E8EEF5"/>
          </w:tcPr>
          <w:p>
            <w:pPr>
              <w:spacing w:after="40"/>
            </w:pPr>
            <w:r>
              <w:rPr>
                <w:rFonts w:ascii="Calibri" w:hAnsi="Calibri"/>
                <w:b/>
                <w:color w:val="1F2937"/>
                <w:sz w:val="18"/>
              </w:rPr>
            </w:r>
            <w:r>
              <w:rPr>
                <w:rFonts w:ascii="Calibri" w:hAnsi="Calibri"/>
                <w:b/>
                <w:color w:val="1F2937"/>
                <w:sz w:val="18"/>
              </w:rPr>
              <w:t>Point d'attention</w:t>
            </w:r>
          </w:p>
        </w:tc>
      </w:tr>
      <w:tr>
        <w:tc>
          <w:tcPr>
            <w:tcW w:type="dxa" w:w="3120"/>
            <w:vAlign w:val="center"/>
          </w:tcPr>
          <w:p>
            <w:pPr>
              <w:spacing w:after="40"/>
            </w:pPr>
            <w:r>
              <w:rPr>
                <w:rFonts w:ascii="Calibri" w:hAnsi="Calibri"/>
                <w:sz w:val="18"/>
              </w:rPr>
            </w:r>
            <w:r>
              <w:rPr>
                <w:rFonts w:ascii="Calibri" w:hAnsi="Calibri"/>
                <w:b/>
                <w:color w:val="1F2937"/>
                <w:sz w:val="18"/>
              </w:rPr>
              <w:t>Compliance</w:t>
            </w:r>
          </w:p>
        </w:tc>
        <w:tc>
          <w:tcPr>
            <w:tcW w:type="dxa" w:w="3120"/>
            <w:vAlign w:val="center"/>
          </w:tcPr>
          <w:p>
            <w:pPr>
              <w:spacing w:after="40"/>
            </w:pPr>
            <w:r>
              <w:rPr>
                <w:rFonts w:ascii="Calibri" w:hAnsi="Calibri"/>
                <w:sz w:val="18"/>
              </w:rPr>
            </w:r>
            <w:r>
              <w:rPr>
                <w:rFonts w:ascii="Calibri" w:hAnsi="Calibri"/>
                <w:b w:val="0"/>
                <w:color w:val="1F2937"/>
                <w:sz w:val="18"/>
              </w:rPr>
              <w:t>Consulter clients, historiques, audits portefeuille, VL et releves envoyes.</w:t>
            </w:r>
          </w:p>
        </w:tc>
        <w:tc>
          <w:tcPr>
            <w:tcW w:type="dxa" w:w="3120"/>
            <w:vAlign w:val="center"/>
          </w:tcPr>
          <w:p>
            <w:pPr>
              <w:spacing w:after="40"/>
            </w:pPr>
            <w:r>
              <w:rPr>
                <w:rFonts w:ascii="Calibri" w:hAnsi="Calibri"/>
                <w:sz w:val="18"/>
              </w:rPr>
            </w:r>
            <w:r>
              <w:rPr>
                <w:rFonts w:ascii="Calibri" w:hAnsi="Calibri"/>
                <w:b w:val="0"/>
                <w:color w:val="1F2937"/>
                <w:sz w:val="18"/>
              </w:rPr>
              <w:t>Ne modifie pas les donnees metier sans piste d'audit; sert de controle independant.</w:t>
            </w:r>
          </w:p>
        </w:tc>
      </w:tr>
      <w:tr>
        <w:tc>
          <w:tcPr>
            <w:tcW w:type="dxa" w:w="3120"/>
            <w:vAlign w:val="center"/>
          </w:tcPr>
          <w:p>
            <w:pPr>
              <w:spacing w:after="40"/>
            </w:pPr>
            <w:r>
              <w:rPr>
                <w:rFonts w:ascii="Calibri" w:hAnsi="Calibri"/>
                <w:sz w:val="18"/>
              </w:rPr>
            </w:r>
            <w:r>
              <w:rPr>
                <w:rFonts w:ascii="Calibri" w:hAnsi="Calibri"/>
                <w:b/>
                <w:color w:val="1F2937"/>
                <w:sz w:val="18"/>
              </w:rPr>
              <w:t>Backoffice</w:t>
            </w:r>
          </w:p>
        </w:tc>
        <w:tc>
          <w:tcPr>
            <w:tcW w:type="dxa" w:w="3120"/>
            <w:vAlign w:val="center"/>
          </w:tcPr>
          <w:p>
            <w:pPr>
              <w:spacing w:after="40"/>
            </w:pPr>
            <w:r>
              <w:rPr>
                <w:rFonts w:ascii="Calibri" w:hAnsi="Calibri"/>
                <w:sz w:val="18"/>
              </w:rPr>
            </w:r>
            <w:r>
              <w:rPr>
                <w:rFonts w:ascii="Calibri" w:hAnsi="Calibri"/>
                <w:b w:val="0"/>
                <w:color w:val="1F2937"/>
                <w:sz w:val="18"/>
              </w:rPr>
              <w:t>Consulter et valider les transactions.</w:t>
            </w:r>
          </w:p>
        </w:tc>
        <w:tc>
          <w:tcPr>
            <w:tcW w:type="dxa" w:w="3120"/>
            <w:vAlign w:val="center"/>
          </w:tcPr>
          <w:p>
            <w:pPr>
              <w:spacing w:after="40"/>
            </w:pPr>
            <w:r>
              <w:rPr>
                <w:rFonts w:ascii="Calibri" w:hAnsi="Calibri"/>
                <w:sz w:val="18"/>
              </w:rPr>
            </w:r>
            <w:r>
              <w:rPr>
                <w:rFonts w:ascii="Calibri" w:hAnsi="Calibri"/>
                <w:b w:val="0"/>
                <w:color w:val="1F2937"/>
                <w:sz w:val="18"/>
              </w:rPr>
              <w:t>Chaque validation doit etre rattachee a un utilisateur et une date.</w:t>
            </w:r>
          </w:p>
        </w:tc>
      </w:tr>
      <w:tr>
        <w:tc>
          <w:tcPr>
            <w:tcW w:type="dxa" w:w="3120"/>
            <w:vAlign w:val="center"/>
          </w:tcPr>
          <w:p>
            <w:pPr>
              <w:spacing w:after="40"/>
            </w:pPr>
            <w:r>
              <w:rPr>
                <w:rFonts w:ascii="Calibri" w:hAnsi="Calibri"/>
                <w:sz w:val="18"/>
              </w:rPr>
            </w:r>
            <w:r>
              <w:rPr>
                <w:rFonts w:ascii="Calibri" w:hAnsi="Calibri"/>
                <w:b/>
                <w:color w:val="1F2937"/>
                <w:sz w:val="18"/>
              </w:rPr>
              <w:t>Direction Generale</w:t>
            </w:r>
          </w:p>
        </w:tc>
        <w:tc>
          <w:tcPr>
            <w:tcW w:type="dxa" w:w="3120"/>
            <w:vAlign w:val="center"/>
          </w:tcPr>
          <w:p>
            <w:pPr>
              <w:spacing w:after="40"/>
            </w:pPr>
            <w:r>
              <w:rPr>
                <w:rFonts w:ascii="Calibri" w:hAnsi="Calibri"/>
                <w:sz w:val="18"/>
              </w:rPr>
            </w:r>
            <w:r>
              <w:rPr>
                <w:rFonts w:ascii="Calibri" w:hAnsi="Calibri"/>
                <w:b w:val="0"/>
                <w:color w:val="1F2937"/>
                <w:sz w:val="18"/>
              </w:rPr>
              <w:t>Suivre le pilotage et les historiques de releves.</w:t>
            </w:r>
          </w:p>
        </w:tc>
        <w:tc>
          <w:tcPr>
            <w:tcW w:type="dxa" w:w="3120"/>
            <w:vAlign w:val="center"/>
          </w:tcPr>
          <w:p>
            <w:pPr>
              <w:spacing w:after="40"/>
            </w:pPr>
            <w:r>
              <w:rPr>
                <w:rFonts w:ascii="Calibri" w:hAnsi="Calibri"/>
                <w:sz w:val="18"/>
              </w:rPr>
            </w:r>
            <w:r>
              <w:rPr>
                <w:rFonts w:ascii="Calibri" w:hAnsi="Calibri"/>
                <w:b w:val="0"/>
                <w:color w:val="1F2937"/>
                <w:sz w:val="18"/>
              </w:rPr>
              <w:t>Vue de supervision, pas de saisie operationnelle courante.</w:t>
            </w:r>
          </w:p>
        </w:tc>
      </w:tr>
      <w:tr>
        <w:tc>
          <w:tcPr>
            <w:tcW w:type="dxa" w:w="3120"/>
            <w:vAlign w:val="center"/>
          </w:tcPr>
          <w:p>
            <w:pPr>
              <w:spacing w:after="40"/>
            </w:pPr>
            <w:r>
              <w:rPr>
                <w:rFonts w:ascii="Calibri" w:hAnsi="Calibri"/>
                <w:sz w:val="18"/>
              </w:rPr>
            </w:r>
            <w:r>
              <w:rPr>
                <w:rFonts w:ascii="Calibri" w:hAnsi="Calibri"/>
                <w:b/>
                <w:color w:val="1F2937"/>
                <w:sz w:val="18"/>
              </w:rPr>
              <w:t>Admin Frontend</w:t>
            </w:r>
          </w:p>
        </w:tc>
        <w:tc>
          <w:tcPr>
            <w:tcW w:type="dxa" w:w="3120"/>
            <w:vAlign w:val="center"/>
          </w:tcPr>
          <w:p>
            <w:pPr>
              <w:spacing w:after="40"/>
            </w:pPr>
            <w:r>
              <w:rPr>
                <w:rFonts w:ascii="Calibri" w:hAnsi="Calibri"/>
                <w:sz w:val="18"/>
              </w:rPr>
            </w:r>
            <w:r>
              <w:rPr>
                <w:rFonts w:ascii="Calibri" w:hAnsi="Calibri"/>
                <w:b w:val="0"/>
                <w:color w:val="1F2937"/>
                <w:sz w:val="18"/>
              </w:rPr>
              <w:t>Gerer utilisateurs, roles, menus et journaux.</w:t>
            </w:r>
          </w:p>
        </w:tc>
        <w:tc>
          <w:tcPr>
            <w:tcW w:type="dxa" w:w="3120"/>
            <w:vAlign w:val="center"/>
          </w:tcPr>
          <w:p>
            <w:pPr>
              <w:spacing w:after="40"/>
            </w:pPr>
            <w:r>
              <w:rPr>
                <w:rFonts w:ascii="Calibri" w:hAnsi="Calibri"/>
                <w:sz w:val="18"/>
              </w:rPr>
            </w:r>
            <w:r>
              <w:rPr>
                <w:rFonts w:ascii="Calibri" w:hAnsi="Calibri"/>
                <w:b w:val="0"/>
                <w:color w:val="1F2937"/>
                <w:sz w:val="18"/>
              </w:rPr>
              <w:t>Limiter les permissions au strict besoin et surveiller les logs.</w:t>
            </w:r>
          </w:p>
        </w:tc>
      </w:tr>
      <w:tr>
        <w:tc>
          <w:tcPr>
            <w:tcW w:type="dxa" w:w="3120"/>
            <w:vAlign w:val="center"/>
          </w:tcPr>
          <w:p>
            <w:pPr>
              <w:spacing w:after="40"/>
            </w:pPr>
            <w:r>
              <w:rPr>
                <w:rFonts w:ascii="Calibri" w:hAnsi="Calibri"/>
                <w:sz w:val="18"/>
              </w:rPr>
            </w:r>
            <w:r>
              <w:rPr>
                <w:rFonts w:ascii="Calibri" w:hAnsi="Calibri"/>
                <w:b/>
                <w:color w:val="1F2937"/>
                <w:sz w:val="18"/>
              </w:rPr>
              <w:t>CRM</w:t>
            </w:r>
          </w:p>
        </w:tc>
        <w:tc>
          <w:tcPr>
            <w:tcW w:type="dxa" w:w="3120"/>
            <w:vAlign w:val="center"/>
          </w:tcPr>
          <w:p>
            <w:pPr>
              <w:spacing w:after="40"/>
            </w:pPr>
            <w:r>
              <w:rPr>
                <w:rFonts w:ascii="Calibri" w:hAnsi="Calibri"/>
                <w:sz w:val="18"/>
              </w:rPr>
            </w:r>
            <w:r>
              <w:rPr>
                <w:rFonts w:ascii="Calibri" w:hAnsi="Calibri"/>
                <w:b w:val="0"/>
                <w:color w:val="1F2937"/>
                <w:sz w:val="18"/>
              </w:rPr>
              <w:t>Gerer prospects, statuts et clients commerciaux.</w:t>
            </w:r>
          </w:p>
        </w:tc>
        <w:tc>
          <w:tcPr>
            <w:tcW w:type="dxa" w:w="3120"/>
            <w:vAlign w:val="center"/>
          </w:tcPr>
          <w:p>
            <w:pPr>
              <w:spacing w:after="40"/>
            </w:pPr>
            <w:r>
              <w:rPr>
                <w:rFonts w:ascii="Calibri" w:hAnsi="Calibri"/>
                <w:sz w:val="18"/>
              </w:rPr>
            </w:r>
            <w:r>
              <w:rPr>
                <w:rFonts w:ascii="Calibri" w:hAnsi="Calibri"/>
                <w:b w:val="0"/>
                <w:color w:val="1F2937"/>
                <w:sz w:val="18"/>
              </w:rPr>
              <w:t>Ne pas confondre prospect commercial et client financier actif.</w:t>
            </w:r>
          </w:p>
        </w:tc>
      </w:tr>
    </w:tbl>
    <w:tbl>
      <w:tblPr>
        <w:tblStyle w:val="TableGrid"/>
        <w:tblW w:type="auto" w:w="0"/>
        <w:tblLayout w:type="fixed"/>
        <w:tblLook w:firstColumn="1" w:firstRow="1" w:lastColumn="0" w:lastRow="0" w:noHBand="0" w:noVBand="1" w:val="04A0"/>
      </w:tblPr>
      <w:tblGrid>
        <w:gridCol w:w="9072"/>
      </w:tblGrid>
      <w:tr>
        <w:tc>
          <w:tcPr>
            <w:tcW w:type="dxa" w:w="9360"/>
            <w:shd w:fill="FFF4CC"/>
          </w:tcPr>
          <w:p>
            <w:pPr>
              <w:spacing w:after="40"/>
            </w:pPr>
            <w:r>
              <w:rPr>
                <w:b/>
                <w:color w:val="0B2545"/>
                <w:sz w:val="19"/>
              </w:rPr>
              <w:t xml:space="preserve">Securite. </w:t>
            </w:r>
            <w:r>
              <w:rPr>
                <w:rFonts w:ascii="Calibri" w:hAnsi="Calibri"/>
                <w:color w:val="1F2937"/>
                <w:sz w:val="19"/>
              </w:rPr>
              <w:t>La securite parfaite n'existe pas en pratique; l'objectif est une securite robuste, auditable et testee. Les preuves de paiement, les permissions minimales, les journaux d'activite et les validations separees reduisent fortement le risque.</w:t>
            </w:r>
          </w:p>
        </w:tc>
      </w:tr>
    </w:tbl>
    <w:p/>
    <w:p>
      <w:pPr>
        <w:pStyle w:val="Heading1"/>
      </w:pPr>
      <w:r>
        <w:t>16. Controles mensuels recommandes</w:t>
      </w:r>
    </w:p>
    <w:p>
      <w:pPr>
        <w:spacing w:after="160"/>
      </w:pPr>
      <w:r>
        <w:t>Avant chaque campagne de releves, l'equipe doit effectuer un controle minimum pour eviter les ecarts de valorisation, les releves inutiles et les paiements non prouves.</w:t>
      </w:r>
    </w:p>
    <w:p>
      <w:pPr>
        <w:pStyle w:val="ListBullet"/>
        <w:spacing w:after="80"/>
      </w:pPr>
      <w:r>
        <w:rPr>
          <w:rFonts w:ascii="Calibri" w:hAnsi="Calibri"/>
          <w:sz w:val="21"/>
        </w:rPr>
        <w:t>Verifier la VL FCP du mois et le calcul au centime.</w:t>
      </w:r>
    </w:p>
    <w:p>
      <w:pPr>
        <w:pStyle w:val="ListBullet"/>
        <w:spacing w:after="80"/>
      </w:pPr>
      <w:r>
        <w:rPr>
          <w:rFonts w:ascii="Calibri" w:hAnsi="Calibri"/>
          <w:sz w:val="21"/>
        </w:rPr>
        <w:t>Verifier les PMG a echeance dans le mois et ceux en periode de visibilite du 1er au 5.</w:t>
      </w:r>
    </w:p>
    <w:p>
      <w:pPr>
        <w:pStyle w:val="ListBullet"/>
        <w:spacing w:after="80"/>
      </w:pPr>
      <w:r>
        <w:rPr>
          <w:rFonts w:ascii="Calibri" w:hAnsi="Calibri"/>
          <w:sz w:val="21"/>
        </w:rPr>
        <w:t>Controler les anniversaires PMG et les interets mensuels exceptionnels a mettre en liquidite.</w:t>
      </w:r>
    </w:p>
    <w:p>
      <w:pPr>
        <w:pStyle w:val="ListBullet"/>
        <w:spacing w:after="80"/>
      </w:pPr>
      <w:r>
        <w:rPr>
          <w:rFonts w:ascii="Calibri" w:hAnsi="Calibri"/>
          <w:sz w:val="21"/>
        </w:rPr>
        <w:t>Comparer clients actifs, clients avec releve a envoyer et clients avec montant nul.</w:t>
      </w:r>
    </w:p>
    <w:p>
      <w:pPr>
        <w:pStyle w:val="ListBullet"/>
        <w:spacing w:after="80"/>
      </w:pPr>
      <w:r>
        <w:rPr>
          <w:rFonts w:ascii="Calibri" w:hAnsi="Calibri"/>
          <w:sz w:val="21"/>
        </w:rPr>
        <w:t>Verifier que toute liquidite payee possede une preuve de paiement.</w:t>
      </w:r>
    </w:p>
    <w:p>
      <w:pPr>
        <w:pStyle w:val="ListBullet"/>
        <w:spacing w:after="80"/>
      </w:pPr>
      <w:r>
        <w:rPr>
          <w:rFonts w:ascii="Calibri" w:hAnsi="Calibri"/>
          <w:sz w:val="21"/>
        </w:rPr>
        <w:t>Archiver ou conserver les releves envoyes pour audit.</w:t>
      </w:r>
    </w:p>
    <w:p>
      <w:pPr>
        <w:pStyle w:val="Heading1"/>
      </w:pPr>
      <w:r>
        <w:t>17. Depannage courant</w:t>
      </w:r>
    </w:p>
    <w:p>
      <w:pPr>
        <w:spacing w:after="160"/>
      </w:pPr>
      <w:r>
        <w:t>Les situations ci-dessous sont les anomalies les plus probables lors de l'exploitation courante.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40"/>
            </w:pPr>
            <w:r>
              <w:rPr>
                <w:rFonts w:ascii="Calibri" w:hAnsi="Calibri"/>
                <w:b/>
                <w:color w:val="1F2937"/>
                <w:sz w:val="18"/>
              </w:rPr>
            </w:r>
            <w:r>
              <w:rPr>
                <w:rFonts w:ascii="Calibri" w:hAnsi="Calibri"/>
                <w:b/>
                <w:color w:val="1F2937"/>
                <w:sz w:val="18"/>
              </w:rPr>
              <w:t>Situation</w:t>
            </w:r>
          </w:p>
        </w:tc>
        <w:tc>
          <w:tcPr>
            <w:tcW w:type="dxa" w:w="3120"/>
            <w:vAlign w:val="center"/>
            <w:shd w:fill="F2F4F7"/>
          </w:tcPr>
          <w:p>
            <w:pPr>
              <w:spacing w:after="40"/>
            </w:pPr>
            <w:r>
              <w:rPr>
                <w:rFonts w:ascii="Calibri" w:hAnsi="Calibri"/>
                <w:b/>
                <w:color w:val="1F2937"/>
                <w:sz w:val="18"/>
              </w:rPr>
            </w:r>
            <w:r>
              <w:rPr>
                <w:rFonts w:ascii="Calibri" w:hAnsi="Calibri"/>
                <w:b/>
                <w:color w:val="1F2937"/>
                <w:sz w:val="18"/>
              </w:rPr>
              <w:t>Cause probable</w:t>
            </w:r>
          </w:p>
        </w:tc>
        <w:tc>
          <w:tcPr>
            <w:tcW w:type="dxa" w:w="3120"/>
            <w:vAlign w:val="center"/>
            <w:shd w:fill="F2F4F7"/>
          </w:tcPr>
          <w:p>
            <w:pPr>
              <w:spacing w:after="40"/>
            </w:pPr>
            <w:r>
              <w:rPr>
                <w:rFonts w:ascii="Calibri" w:hAnsi="Calibri"/>
                <w:b/>
                <w:color w:val="1F2937"/>
                <w:sz w:val="18"/>
              </w:rPr>
            </w:r>
            <w:r>
              <w:rPr>
                <w:rFonts w:ascii="Calibri" w:hAnsi="Calibri"/>
                <w:b/>
                <w:color w:val="1F2937"/>
                <w:sz w:val="18"/>
              </w:rPr>
              <w:t>Action</w:t>
            </w:r>
          </w:p>
        </w:tc>
      </w:tr>
      <w:tr>
        <w:tc>
          <w:tcPr>
            <w:tcW w:type="dxa" w:w="3120"/>
            <w:vAlign w:val="center"/>
          </w:tcPr>
          <w:p>
            <w:pPr>
              <w:spacing w:after="40"/>
            </w:pPr>
            <w:r>
              <w:rPr>
                <w:rFonts w:ascii="Calibri" w:hAnsi="Calibri"/>
                <w:sz w:val="18"/>
              </w:rPr>
            </w:r>
            <w:r>
              <w:rPr>
                <w:rFonts w:ascii="Calibri" w:hAnsi="Calibri"/>
                <w:b/>
                <w:color w:val="1F2937"/>
                <w:sz w:val="18"/>
              </w:rPr>
              <w:t>Client affiche a zero</w:t>
            </w:r>
          </w:p>
        </w:tc>
        <w:tc>
          <w:tcPr>
            <w:tcW w:type="dxa" w:w="3120"/>
            <w:vAlign w:val="center"/>
          </w:tcPr>
          <w:p>
            <w:pPr>
              <w:spacing w:after="40"/>
            </w:pPr>
            <w:r>
              <w:rPr>
                <w:rFonts w:ascii="Calibri" w:hAnsi="Calibri"/>
                <w:sz w:val="18"/>
              </w:rPr>
            </w:r>
            <w:r>
              <w:rPr>
                <w:rFonts w:ascii="Calibri" w:hAnsi="Calibri"/>
                <w:b w:val="0"/>
                <w:color w:val="1F2937"/>
                <w:sz w:val="18"/>
              </w:rPr>
              <w:t>Pas de placement actif dans le filtre ou placement expire/non valorise.</w:t>
            </w:r>
          </w:p>
        </w:tc>
        <w:tc>
          <w:tcPr>
            <w:tcW w:type="dxa" w:w="3120"/>
            <w:vAlign w:val="center"/>
          </w:tcPr>
          <w:p>
            <w:pPr>
              <w:spacing w:after="40"/>
            </w:pPr>
            <w:r>
              <w:rPr>
                <w:rFonts w:ascii="Calibri" w:hAnsi="Calibri"/>
                <w:sz w:val="18"/>
              </w:rPr>
            </w:r>
            <w:r>
              <w:rPr>
                <w:rFonts w:ascii="Calibri" w:hAnsi="Calibri"/>
                <w:b w:val="0"/>
                <w:color w:val="1F2937"/>
                <w:sz w:val="18"/>
              </w:rPr>
              <w:t>Ouvrir Details puis Historique des transactions.</w:t>
            </w:r>
          </w:p>
        </w:tc>
      </w:tr>
      <w:tr>
        <w:tc>
          <w:tcPr>
            <w:tcW w:type="dxa" w:w="3120"/>
            <w:vAlign w:val="center"/>
          </w:tcPr>
          <w:p>
            <w:pPr>
              <w:spacing w:after="40"/>
            </w:pPr>
            <w:r>
              <w:rPr>
                <w:rFonts w:ascii="Calibri" w:hAnsi="Calibri"/>
                <w:sz w:val="18"/>
              </w:rPr>
            </w:r>
            <w:r>
              <w:rPr>
                <w:rFonts w:ascii="Calibri" w:hAnsi="Calibri"/>
                <w:b/>
                <w:color w:val="1F2937"/>
                <w:sz w:val="18"/>
              </w:rPr>
              <w:t>Nombre actifs different des releves</w:t>
            </w:r>
          </w:p>
        </w:tc>
        <w:tc>
          <w:tcPr>
            <w:tcW w:type="dxa" w:w="3120"/>
            <w:vAlign w:val="center"/>
          </w:tcPr>
          <w:p>
            <w:pPr>
              <w:spacing w:after="40"/>
            </w:pPr>
            <w:r>
              <w:rPr>
                <w:rFonts w:ascii="Calibri" w:hAnsi="Calibri"/>
                <w:sz w:val="18"/>
              </w:rPr>
            </w:r>
            <w:r>
              <w:rPr>
                <w:rFonts w:ascii="Calibri" w:hAnsi="Calibri"/>
                <w:b w:val="0"/>
                <w:color w:val="1F2937"/>
                <w:sz w:val="18"/>
              </w:rPr>
              <w:t>La liste des releves utilise une logique de periode, produit et visibilite.</w:t>
            </w:r>
          </w:p>
        </w:tc>
        <w:tc>
          <w:tcPr>
            <w:tcW w:type="dxa" w:w="3120"/>
            <w:vAlign w:val="center"/>
          </w:tcPr>
          <w:p>
            <w:pPr>
              <w:spacing w:after="40"/>
            </w:pPr>
            <w:r>
              <w:rPr>
                <w:rFonts w:ascii="Calibri" w:hAnsi="Calibri"/>
                <w:sz w:val="18"/>
              </w:rPr>
            </w:r>
            <w:r>
              <w:rPr>
                <w:rFonts w:ascii="Calibri" w:hAnsi="Calibri"/>
                <w:b w:val="0"/>
                <w:color w:val="1F2937"/>
                <w:sz w:val="18"/>
              </w:rPr>
              <w:t>Comparer filtre PMG/FCP, echeances et periode d'envoi.</w:t>
            </w:r>
          </w:p>
        </w:tc>
      </w:tr>
      <w:tr>
        <w:tc>
          <w:tcPr>
            <w:tcW w:type="dxa" w:w="3120"/>
            <w:vAlign w:val="center"/>
          </w:tcPr>
          <w:p>
            <w:pPr>
              <w:spacing w:after="40"/>
            </w:pPr>
            <w:r>
              <w:rPr>
                <w:rFonts w:ascii="Calibri" w:hAnsi="Calibri"/>
                <w:sz w:val="18"/>
              </w:rPr>
            </w:r>
            <w:r>
              <w:rPr>
                <w:rFonts w:ascii="Calibri" w:hAnsi="Calibri"/>
                <w:b/>
                <w:color w:val="1F2937"/>
                <w:sz w:val="18"/>
              </w:rPr>
              <w:t>Liquidite absente</w:t>
            </w:r>
          </w:p>
        </w:tc>
        <w:tc>
          <w:tcPr>
            <w:tcW w:type="dxa" w:w="3120"/>
            <w:vAlign w:val="center"/>
          </w:tcPr>
          <w:p>
            <w:pPr>
              <w:spacing w:after="40"/>
            </w:pPr>
            <w:r>
              <w:rPr>
                <w:rFonts w:ascii="Calibri" w:hAnsi="Calibri"/>
                <w:sz w:val="18"/>
              </w:rPr>
            </w:r>
            <w:r>
              <w:rPr>
                <w:rFonts w:ascii="Calibri" w:hAnsi="Calibri"/>
                <w:b w:val="0"/>
                <w:color w:val="1F2937"/>
                <w:sz w:val="18"/>
              </w:rPr>
              <w:t>Ecriture liquidite_interets ou liquidite_capital non creee.</w:t>
            </w:r>
          </w:p>
        </w:tc>
        <w:tc>
          <w:tcPr>
            <w:tcW w:type="dxa" w:w="3120"/>
            <w:vAlign w:val="center"/>
          </w:tcPr>
          <w:p>
            <w:pPr>
              <w:spacing w:after="40"/>
            </w:pPr>
            <w:r>
              <w:rPr>
                <w:rFonts w:ascii="Calibri" w:hAnsi="Calibri"/>
                <w:sz w:val="18"/>
              </w:rPr>
            </w:r>
            <w:r>
              <w:rPr>
                <w:rFonts w:ascii="Calibri" w:hAnsi="Calibri"/>
                <w:b w:val="0"/>
                <w:color w:val="1F2937"/>
                <w:sz w:val="18"/>
              </w:rPr>
              <w:t>Generer ou enregistrer le mouvement de liquidite attendu.</w:t>
            </w:r>
          </w:p>
        </w:tc>
      </w:tr>
      <w:tr>
        <w:tc>
          <w:tcPr>
            <w:tcW w:type="dxa" w:w="3120"/>
            <w:vAlign w:val="center"/>
          </w:tcPr>
          <w:p>
            <w:pPr>
              <w:spacing w:after="40"/>
            </w:pPr>
            <w:r>
              <w:rPr>
                <w:rFonts w:ascii="Calibri" w:hAnsi="Calibri"/>
                <w:sz w:val="18"/>
              </w:rPr>
            </w:r>
            <w:r>
              <w:rPr>
                <w:rFonts w:ascii="Calibri" w:hAnsi="Calibri"/>
                <w:b/>
                <w:color w:val="1F2937"/>
                <w:sz w:val="18"/>
              </w:rPr>
              <w:t>Paiement non prouve</w:t>
            </w:r>
          </w:p>
        </w:tc>
        <w:tc>
          <w:tcPr>
            <w:tcW w:type="dxa" w:w="3120"/>
            <w:vAlign w:val="center"/>
          </w:tcPr>
          <w:p>
            <w:pPr>
              <w:spacing w:after="40"/>
            </w:pPr>
            <w:r>
              <w:rPr>
                <w:rFonts w:ascii="Calibri" w:hAnsi="Calibri"/>
                <w:sz w:val="18"/>
              </w:rPr>
            </w:r>
            <w:r>
              <w:rPr>
                <w:rFonts w:ascii="Calibri" w:hAnsi="Calibri"/>
                <w:b w:val="0"/>
                <w:color w:val="1F2937"/>
                <w:sz w:val="18"/>
              </w:rPr>
              <w:t>Absence de reference, methode ou justificatif.</w:t>
            </w:r>
          </w:p>
        </w:tc>
        <w:tc>
          <w:tcPr>
            <w:tcW w:type="dxa" w:w="3120"/>
            <w:vAlign w:val="center"/>
          </w:tcPr>
          <w:p>
            <w:pPr>
              <w:spacing w:after="40"/>
            </w:pPr>
            <w:r>
              <w:rPr>
                <w:rFonts w:ascii="Calibri" w:hAnsi="Calibri"/>
                <w:sz w:val="18"/>
              </w:rPr>
            </w:r>
            <w:r>
              <w:rPr>
                <w:rFonts w:ascii="Calibri" w:hAnsi="Calibri"/>
                <w:b w:val="0"/>
                <w:color w:val="1F2937"/>
                <w:sz w:val="18"/>
              </w:rPr>
              <w:t>Exiger la preuve avant de considerer le client paye.</w:t>
            </w:r>
          </w:p>
        </w:tc>
      </w:tr>
      <w:tr>
        <w:tc>
          <w:tcPr>
            <w:tcW w:type="dxa" w:w="3120"/>
            <w:vAlign w:val="center"/>
          </w:tcPr>
          <w:p>
            <w:pPr>
              <w:spacing w:after="40"/>
            </w:pPr>
            <w:r>
              <w:rPr>
                <w:rFonts w:ascii="Calibri" w:hAnsi="Calibri"/>
                <w:sz w:val="18"/>
              </w:rPr>
            </w:r>
            <w:r>
              <w:rPr>
                <w:rFonts w:ascii="Calibri" w:hAnsi="Calibri"/>
                <w:b/>
                <w:color w:val="1F2937"/>
                <w:sz w:val="18"/>
              </w:rPr>
              <w:t>Ecart FCP au centime</w:t>
            </w:r>
          </w:p>
        </w:tc>
        <w:tc>
          <w:tcPr>
            <w:tcW w:type="dxa" w:w="3120"/>
            <w:vAlign w:val="center"/>
          </w:tcPr>
          <w:p>
            <w:pPr>
              <w:spacing w:after="40"/>
            </w:pPr>
            <w:r>
              <w:rPr>
                <w:rFonts w:ascii="Calibri" w:hAnsi="Calibri"/>
                <w:sz w:val="18"/>
              </w:rPr>
            </w:r>
            <w:r>
              <w:rPr>
                <w:rFonts w:ascii="Calibri" w:hAnsi="Calibri"/>
                <w:b w:val="0"/>
                <w:color w:val="1F2937"/>
                <w:sz w:val="18"/>
              </w:rPr>
              <w:t>Arrondi trop tot sur VL ou nombre de parts.</w:t>
            </w:r>
          </w:p>
        </w:tc>
        <w:tc>
          <w:tcPr>
            <w:tcW w:type="dxa" w:w="3120"/>
            <w:vAlign w:val="center"/>
          </w:tcPr>
          <w:p>
            <w:pPr>
              <w:spacing w:after="40"/>
            </w:pPr>
            <w:r>
              <w:rPr>
                <w:rFonts w:ascii="Calibri" w:hAnsi="Calibri"/>
                <w:sz w:val="18"/>
              </w:rPr>
            </w:r>
            <w:r>
              <w:rPr>
                <w:rFonts w:ascii="Calibri" w:hAnsi="Calibri"/>
                <w:b w:val="0"/>
                <w:color w:val="1F2937"/>
                <w:sz w:val="18"/>
              </w:rPr>
              <w:t>Recalculer avec toutes les decimales puis arrondir seulement a l'affichage.</w:t>
            </w:r>
          </w:p>
        </w:tc>
      </w:tr>
    </w:tbl>
    <w:p>
      <w:pPr>
        <w:pStyle w:val="Heading1"/>
      </w:pPr>
      <w:r>
        <w:t>18. Glossaire</w:t>
      </w:r>
    </w:p>
    <w:tbl>
      <w:tblPr>
        <w:tblStyle w:val="TableGrid"/>
        <w:tblW w:type="auto" w:w="0"/>
        <w:jc w:val="left"/>
        <w:tblLayout w:type="fixed"/>
        <w:tblLook w:firstColumn="1" w:firstRow="1" w:lastColumn="0" w:lastRow="0" w:noHBand="0" w:noVBand="1" w:val="04A0"/>
      </w:tblPr>
      <w:tblGrid>
        <w:gridCol w:w="4680"/>
        <w:gridCol w:w="4680"/>
      </w:tblGrid>
      <w:tr>
        <w:tc>
          <w:tcPr>
            <w:tcW w:type="dxa" w:w="4680"/>
            <w:vAlign w:val="center"/>
            <w:shd w:fill="E8EEF5"/>
          </w:tcPr>
          <w:p>
            <w:pPr>
              <w:spacing w:after="40"/>
            </w:pPr>
            <w:r>
              <w:rPr>
                <w:rFonts w:ascii="Calibri" w:hAnsi="Calibri"/>
                <w:b/>
                <w:color w:val="1F2937"/>
                <w:sz w:val="18"/>
              </w:rPr>
            </w:r>
            <w:r>
              <w:rPr>
                <w:rFonts w:ascii="Calibri" w:hAnsi="Calibri"/>
                <w:b/>
                <w:color w:val="1F2937"/>
                <w:sz w:val="18"/>
              </w:rPr>
              <w:t>Terme</w:t>
            </w:r>
          </w:p>
        </w:tc>
        <w:tc>
          <w:tcPr>
            <w:tcW w:type="dxa" w:w="4680"/>
            <w:vAlign w:val="center"/>
            <w:shd w:fill="E8EEF5"/>
          </w:tcPr>
          <w:p>
            <w:pPr>
              <w:spacing w:after="40"/>
            </w:pPr>
            <w:r>
              <w:rPr>
                <w:rFonts w:ascii="Calibri" w:hAnsi="Calibri"/>
                <w:b/>
                <w:color w:val="1F2937"/>
                <w:sz w:val="18"/>
              </w:rPr>
            </w:r>
            <w:r>
              <w:rPr>
                <w:rFonts w:ascii="Calibri" w:hAnsi="Calibri"/>
                <w:b/>
                <w:color w:val="1F2937"/>
                <w:sz w:val="18"/>
              </w:rPr>
              <w:t>Definition</w:t>
            </w:r>
          </w:p>
        </w:tc>
      </w:tr>
      <w:tr>
        <w:tc>
          <w:tcPr>
            <w:tcW w:type="dxa" w:w="4680"/>
            <w:vAlign w:val="center"/>
          </w:tcPr>
          <w:p>
            <w:pPr>
              <w:spacing w:after="40"/>
            </w:pPr>
            <w:r>
              <w:rPr>
                <w:rFonts w:ascii="Calibri" w:hAnsi="Calibri"/>
                <w:sz w:val="18"/>
              </w:rPr>
            </w:r>
            <w:r>
              <w:rPr>
                <w:rFonts w:ascii="Calibri" w:hAnsi="Calibri"/>
                <w:b/>
                <w:color w:val="1F2937"/>
                <w:sz w:val="18"/>
              </w:rPr>
              <w:t>PMG</w:t>
            </w:r>
          </w:p>
        </w:tc>
        <w:tc>
          <w:tcPr>
            <w:tcW w:type="dxa" w:w="4680"/>
            <w:vAlign w:val="center"/>
          </w:tcPr>
          <w:p>
            <w:pPr>
              <w:spacing w:after="40"/>
            </w:pPr>
            <w:r>
              <w:rPr>
                <w:rFonts w:ascii="Calibri" w:hAnsi="Calibri"/>
                <w:sz w:val="18"/>
              </w:rPr>
            </w:r>
            <w:r>
              <w:rPr>
                <w:rFonts w:ascii="Calibri" w:hAnsi="Calibri"/>
                <w:b w:val="0"/>
                <w:color w:val="1F2937"/>
                <w:sz w:val="18"/>
              </w:rPr>
              <w:t>Mandat ou produit de gestion avec capital, taux, date de debut, date de fin et modalite d'interets.</w:t>
            </w:r>
          </w:p>
        </w:tc>
      </w:tr>
      <w:tr>
        <w:tc>
          <w:tcPr>
            <w:tcW w:type="dxa" w:w="4680"/>
            <w:vAlign w:val="center"/>
          </w:tcPr>
          <w:p>
            <w:pPr>
              <w:spacing w:after="40"/>
            </w:pPr>
            <w:r>
              <w:rPr>
                <w:rFonts w:ascii="Calibri" w:hAnsi="Calibri"/>
                <w:sz w:val="18"/>
              </w:rPr>
            </w:r>
            <w:r>
              <w:rPr>
                <w:rFonts w:ascii="Calibri" w:hAnsi="Calibri"/>
                <w:b/>
                <w:color w:val="1F2937"/>
                <w:sz w:val="18"/>
              </w:rPr>
              <w:t>FCP</w:t>
            </w:r>
          </w:p>
        </w:tc>
        <w:tc>
          <w:tcPr>
            <w:tcW w:type="dxa" w:w="4680"/>
            <w:vAlign w:val="center"/>
          </w:tcPr>
          <w:p>
            <w:pPr>
              <w:spacing w:after="40"/>
            </w:pPr>
            <w:r>
              <w:rPr>
                <w:rFonts w:ascii="Calibri" w:hAnsi="Calibri"/>
                <w:sz w:val="18"/>
              </w:rPr>
            </w:r>
            <w:r>
              <w:rPr>
                <w:rFonts w:ascii="Calibri" w:hAnsi="Calibri"/>
                <w:b w:val="0"/>
                <w:color w:val="1F2937"/>
                <w:sz w:val="18"/>
              </w:rPr>
              <w:t>Produit valorise par nombre de parts et valeur liquidative.</w:t>
            </w:r>
          </w:p>
        </w:tc>
      </w:tr>
      <w:tr>
        <w:tc>
          <w:tcPr>
            <w:tcW w:type="dxa" w:w="4680"/>
            <w:vAlign w:val="center"/>
          </w:tcPr>
          <w:p>
            <w:pPr>
              <w:spacing w:after="40"/>
            </w:pPr>
            <w:r>
              <w:rPr>
                <w:rFonts w:ascii="Calibri" w:hAnsi="Calibri"/>
                <w:sz w:val="18"/>
              </w:rPr>
            </w:r>
            <w:r>
              <w:rPr>
                <w:rFonts w:ascii="Calibri" w:hAnsi="Calibri"/>
                <w:b/>
                <w:color w:val="1F2937"/>
                <w:sz w:val="18"/>
              </w:rPr>
              <w:t>VL</w:t>
            </w:r>
          </w:p>
        </w:tc>
        <w:tc>
          <w:tcPr>
            <w:tcW w:type="dxa" w:w="4680"/>
            <w:vAlign w:val="center"/>
          </w:tcPr>
          <w:p>
            <w:pPr>
              <w:spacing w:after="40"/>
            </w:pPr>
            <w:r>
              <w:rPr>
                <w:rFonts w:ascii="Calibri" w:hAnsi="Calibri"/>
                <w:sz w:val="18"/>
              </w:rPr>
            </w:r>
            <w:r>
              <w:rPr>
                <w:rFonts w:ascii="Calibri" w:hAnsi="Calibri"/>
                <w:b w:val="0"/>
                <w:color w:val="1F2937"/>
                <w:sz w:val="18"/>
              </w:rPr>
              <w:t>Valeur liquidative utilisee pour valoriser une part FCP.</w:t>
            </w:r>
          </w:p>
        </w:tc>
      </w:tr>
      <w:tr>
        <w:tc>
          <w:tcPr>
            <w:tcW w:type="dxa" w:w="4680"/>
            <w:vAlign w:val="center"/>
          </w:tcPr>
          <w:p>
            <w:pPr>
              <w:spacing w:after="40"/>
            </w:pPr>
            <w:r>
              <w:rPr>
                <w:rFonts w:ascii="Calibri" w:hAnsi="Calibri"/>
                <w:sz w:val="18"/>
              </w:rPr>
            </w:r>
            <w:r>
              <w:rPr>
                <w:rFonts w:ascii="Calibri" w:hAnsi="Calibri"/>
                <w:b/>
                <w:color w:val="1F2937"/>
                <w:sz w:val="18"/>
              </w:rPr>
              <w:t>Liquidite</w:t>
            </w:r>
          </w:p>
        </w:tc>
        <w:tc>
          <w:tcPr>
            <w:tcW w:type="dxa" w:w="4680"/>
            <w:vAlign w:val="center"/>
          </w:tcPr>
          <w:p>
            <w:pPr>
              <w:spacing w:after="40"/>
            </w:pPr>
            <w:r>
              <w:rPr>
                <w:rFonts w:ascii="Calibri" w:hAnsi="Calibri"/>
                <w:sz w:val="18"/>
              </w:rPr>
            </w:r>
            <w:r>
              <w:rPr>
                <w:rFonts w:ascii="Calibri" w:hAnsi="Calibri"/>
                <w:b w:val="0"/>
                <w:color w:val="1F2937"/>
                <w:sz w:val="18"/>
              </w:rPr>
              <w:t>Montant disponible ou exigible, pas encore paye au client.</w:t>
            </w:r>
          </w:p>
        </w:tc>
      </w:tr>
      <w:tr>
        <w:tc>
          <w:tcPr>
            <w:tcW w:type="dxa" w:w="4680"/>
            <w:vAlign w:val="center"/>
          </w:tcPr>
          <w:p>
            <w:pPr>
              <w:spacing w:after="40"/>
            </w:pPr>
            <w:r>
              <w:rPr>
                <w:rFonts w:ascii="Calibri" w:hAnsi="Calibri"/>
                <w:sz w:val="18"/>
              </w:rPr>
            </w:r>
            <w:r>
              <w:rPr>
                <w:rFonts w:ascii="Calibri" w:hAnsi="Calibri"/>
                <w:b/>
                <w:color w:val="1F2937"/>
                <w:sz w:val="18"/>
              </w:rPr>
              <w:t>Precompte</w:t>
            </w:r>
          </w:p>
        </w:tc>
        <w:tc>
          <w:tcPr>
            <w:tcW w:type="dxa" w:w="4680"/>
            <w:vAlign w:val="center"/>
          </w:tcPr>
          <w:p>
            <w:pPr>
              <w:spacing w:after="40"/>
            </w:pPr>
            <w:r>
              <w:rPr>
                <w:rFonts w:ascii="Calibri" w:hAnsi="Calibri"/>
                <w:sz w:val="18"/>
              </w:rPr>
            </w:r>
            <w:r>
              <w:rPr>
                <w:rFonts w:ascii="Calibri" w:hAnsi="Calibri"/>
                <w:b w:val="0"/>
                <w:color w:val="1F2937"/>
                <w:sz w:val="18"/>
              </w:rPr>
              <w:t>Interets constates des le debut selon la modalite du produit.</w:t>
            </w:r>
          </w:p>
        </w:tc>
      </w:tr>
      <w:tr>
        <w:tc>
          <w:tcPr>
            <w:tcW w:type="dxa" w:w="4680"/>
            <w:vAlign w:val="center"/>
          </w:tcPr>
          <w:p>
            <w:pPr>
              <w:spacing w:after="40"/>
            </w:pPr>
            <w:r>
              <w:rPr>
                <w:rFonts w:ascii="Calibri" w:hAnsi="Calibri"/>
                <w:sz w:val="18"/>
              </w:rPr>
            </w:r>
            <w:r>
              <w:rPr>
                <w:rFonts w:ascii="Calibri" w:hAnsi="Calibri"/>
                <w:b/>
                <w:color w:val="1F2937"/>
                <w:sz w:val="18"/>
              </w:rPr>
              <w:t>Releve</w:t>
            </w:r>
          </w:p>
        </w:tc>
        <w:tc>
          <w:tcPr>
            <w:tcW w:type="dxa" w:w="4680"/>
            <w:vAlign w:val="center"/>
          </w:tcPr>
          <w:p>
            <w:pPr>
              <w:spacing w:after="40"/>
            </w:pPr>
            <w:r>
              <w:rPr>
                <w:rFonts w:ascii="Calibri" w:hAnsi="Calibri"/>
                <w:sz w:val="18"/>
              </w:rPr>
            </w:r>
            <w:r>
              <w:rPr>
                <w:rFonts w:ascii="Calibri" w:hAnsi="Calibri"/>
                <w:b w:val="0"/>
                <w:color w:val="1F2937"/>
                <w:sz w:val="18"/>
              </w:rPr>
              <w:t>Document envoye au client recapitulant la valorisation et les mouvements.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Document interne - version du 21/06/2026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8"/>
      </w:rPr>
      <w:t>Mode d'emploi myKORI - KORI Asset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