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075F7" w:rsidRDefault="00495ED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6314"/>
      </w:tblGrid>
      <w:tr w:rsidR="002075F7" w14:paraId="3546CE52" w14:textId="77777777">
        <w:tc>
          <w:tcPr>
            <w:tcW w:w="2031" w:type="dxa"/>
            <w:vAlign w:val="center"/>
          </w:tcPr>
          <w:p w14:paraId="7428FB95" w14:textId="77777777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075F7" w14:paraId="59125740" w14:textId="77777777">
        <w:tc>
          <w:tcPr>
            <w:tcW w:w="2031" w:type="dxa"/>
            <w:vAlign w:val="center"/>
          </w:tcPr>
          <w:p w14:paraId="794E3253" w14:textId="30A3EACF" w:rsidR="002075F7" w:rsidRDefault="00DB2AA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17C13A29" w14:textId="04A022F9" w:rsidR="002075F7" w:rsidRDefault="00DB2AA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</w:t>
            </w:r>
            <w:r w:rsidR="006F78BB">
              <w:rPr>
                <w:rFonts w:ascii="Segoe UI" w:hAnsi="Segoe UI" w:cs="Segoe UI"/>
                <w:spacing w:val="5"/>
                <w:shd w:val="clear" w:color="auto" w:fill="FFFFFF"/>
              </w:rPr>
              <w:t>自动灌溉系统通过</w:t>
            </w:r>
            <w:r w:rsidR="006F78BB">
              <w:rPr>
                <w:rFonts w:ascii="Segoe UI" w:hAnsi="Segoe UI" w:cs="Segoe UI"/>
                <w:spacing w:val="5"/>
                <w:shd w:val="clear" w:color="auto" w:fill="FFFFFF"/>
              </w:rPr>
              <w:t> 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“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监测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→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分析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→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执行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→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反馈</w:t>
            </w:r>
            <w:r w:rsidR="006F78BB"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”</w:t>
            </w:r>
            <w:r w:rsidR="006F78BB">
              <w:rPr>
                <w:rFonts w:ascii="Segoe UI" w:hAnsi="Segoe UI" w:cs="Segoe UI"/>
                <w:spacing w:val="5"/>
                <w:shd w:val="clear" w:color="auto" w:fill="FFFFFF"/>
              </w:rPr>
              <w:t> </w:t>
            </w:r>
            <w:r w:rsidR="006F78BB">
              <w:rPr>
                <w:rFonts w:ascii="Segoe UI" w:hAnsi="Segoe UI" w:cs="Segoe UI"/>
                <w:spacing w:val="5"/>
                <w:shd w:val="clear" w:color="auto" w:fill="FFFFFF"/>
              </w:rPr>
              <w:t>的闭环流程，实现全自动化管理。</w:t>
            </w:r>
          </w:p>
        </w:tc>
      </w:tr>
      <w:tr w:rsidR="002075F7" w14:paraId="0C58A7F5" w14:textId="77777777">
        <w:tc>
          <w:tcPr>
            <w:tcW w:w="2031" w:type="dxa"/>
            <w:vAlign w:val="center"/>
          </w:tcPr>
          <w:p w14:paraId="029DE688" w14:textId="1FA95503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自动烧水系统</w:t>
            </w:r>
          </w:p>
        </w:tc>
        <w:tc>
          <w:tcPr>
            <w:tcW w:w="6491" w:type="dxa"/>
            <w:vAlign w:val="center"/>
          </w:tcPr>
          <w:p w14:paraId="4D330240" w14:textId="7DEE7B06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95ED8">
              <w:rPr>
                <w:rFonts w:hint="eastAsia"/>
                <w:sz w:val="24"/>
                <w:szCs w:val="32"/>
              </w:rPr>
              <w:t>烧水系统的自动环节主要体现在其能够自主感知状态、做出决策并执行操作，无需人工持续干预，核心在于反馈控制机制的应用</w:t>
            </w:r>
          </w:p>
        </w:tc>
      </w:tr>
      <w:tr w:rsidR="002075F7" w14:paraId="68384116" w14:textId="77777777">
        <w:tc>
          <w:tcPr>
            <w:tcW w:w="2031" w:type="dxa"/>
            <w:vAlign w:val="center"/>
          </w:tcPr>
          <w:p w14:paraId="5F340396" w14:textId="77777777" w:rsidR="002075F7" w:rsidRDefault="002075F7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</w:tc>
        <w:tc>
          <w:tcPr>
            <w:tcW w:w="6491" w:type="dxa"/>
            <w:vAlign w:val="center"/>
          </w:tcPr>
          <w:p w14:paraId="4F55D21D" w14:textId="77777777" w:rsidR="002075F7" w:rsidRDefault="002075F7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2075F7" w:rsidRDefault="002075F7">
      <w:pPr>
        <w:spacing w:line="360" w:lineRule="auto"/>
        <w:rPr>
          <w:sz w:val="24"/>
          <w:szCs w:val="32"/>
        </w:rPr>
      </w:pPr>
    </w:p>
    <w:p w14:paraId="5F98CF08" w14:textId="77777777" w:rsidR="002075F7" w:rsidRDefault="002075F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075F7" w:rsidRDefault="002075F7">
      <w:pPr>
        <w:ind w:firstLine="418"/>
        <w:jc w:val="left"/>
      </w:pPr>
    </w:p>
    <w:p w14:paraId="3E172011" w14:textId="77777777" w:rsidR="002075F7" w:rsidRDefault="002075F7">
      <w:pPr>
        <w:jc w:val="left"/>
      </w:pPr>
    </w:p>
    <w:p w14:paraId="2B5ED95B" w14:textId="77777777" w:rsidR="002075F7" w:rsidRDefault="002075F7">
      <w:pPr>
        <w:ind w:firstLine="418"/>
        <w:jc w:val="left"/>
      </w:pPr>
    </w:p>
    <w:p w14:paraId="3004AA1C" w14:textId="77777777" w:rsidR="002075F7" w:rsidRDefault="00495ED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075F7" w14:paraId="2DA5CFA6" w14:textId="77777777">
        <w:tc>
          <w:tcPr>
            <w:tcW w:w="2235" w:type="dxa"/>
            <w:vAlign w:val="center"/>
          </w:tcPr>
          <w:p w14:paraId="190275B0" w14:textId="77777777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075F7" w14:paraId="5B1603F3" w14:textId="77777777">
        <w:tc>
          <w:tcPr>
            <w:tcW w:w="2235" w:type="dxa"/>
            <w:vAlign w:val="center"/>
          </w:tcPr>
          <w:p w14:paraId="0AE3E0A6" w14:textId="77777777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2075F7" w:rsidRDefault="002075F7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2075F7" w14:paraId="4CC4D447" w14:textId="77777777">
        <w:tc>
          <w:tcPr>
            <w:tcW w:w="2235" w:type="dxa"/>
            <w:vAlign w:val="center"/>
          </w:tcPr>
          <w:p w14:paraId="6BFBED40" w14:textId="77777777" w:rsidR="002075F7" w:rsidRDefault="00495ED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2075F7" w:rsidRDefault="002075F7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2075F7" w:rsidRDefault="002075F7">
      <w:pPr>
        <w:spacing w:line="360" w:lineRule="auto"/>
        <w:jc w:val="left"/>
        <w:rPr>
          <w:sz w:val="24"/>
          <w:szCs w:val="32"/>
        </w:rPr>
      </w:pPr>
    </w:p>
    <w:sectPr w:rsidR="00207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075F7"/>
    <w:rsid w:val="00495ED8"/>
    <w:rsid w:val="006666D8"/>
    <w:rsid w:val="006F78BB"/>
    <w:rsid w:val="00976495"/>
    <w:rsid w:val="009E3B24"/>
    <w:rsid w:val="00DB2AA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9D1C31D-6E73-48E6-B4FF-7F192F83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F78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>P R C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2026-01-12T05:50:00Z</dcterms:created>
  <dcterms:modified xsi:type="dcterms:W3CDTF">2026-01-12T05:50:00Z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