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/>
    </w:p>
    <w:tbl>
      <w:tblPr>
        <w:tblW w:w="0" w:type="auto"/>
        <w:jc w:val=""/>
        <w:tblLayout w:type="fixed"/>
      </w:tblPr>
      <w:tblGrid>
        <w:gridCol w:w="2788"/>
        <w:gridCol w:w="1156"/>
        <w:gridCol w:w="1666"/>
        <w:gridCol w:w="2720"/>
        <w:gridCol w:w="1666"/>
        <w:gridCol w:w="1666"/>
        <w:gridCol w:w="1666"/>
        <w:gridCol w:w="1666"/>
        <w:gridCol w:w="1666"/>
        <w:gridCol w:w="1666"/>
        <w:gridCol w:w="1156"/>
        <w:gridCol w:w="1173"/>
        <w:gridCol w:w="1258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Descriptive Statistics</w:t>
            </w:r>
          </w:p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N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Range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Minimum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Maximum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Sum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Mean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Deviation</w:t>
            </w:r>
          </w:p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Variance</w:t>
            </w:r>
          </w:p>
        </w:tc>
        <w:tc>
          <w:tcPr>
            <w:hMerge w:val="restart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Skewness</w:t>
            </w:r>
          </w:p>
        </w:tc>
        <w:tc>
          <w:tcPr>
            <w:hMerge w:val="continue"/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aeaeae"/>
            </w:tcBorders>
          </w:tcPr>
          <w:p/>
        </w:tc>
        <w:tc>
          <w:tcPr>
            <w:tcBorders>
              <w:top w:val="none" w:sz="1" w:color="152935"/>
              <w:left w:val="single" w:sz="1" w:color="e0e0e0"/>
              <w:bottom w:val="non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Kurtosis</w:t>
            </w:r>
          </w:p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  <w:righ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Statistic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Statistic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Statistic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Statistic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Statistic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Statistic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Statistic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Statistic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Statistic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aeaeae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</w:t>
            </w:r>
          </w:p>
        </w:tc>
        <w:tc>
          <w:tcPr>
            <w:tcBorders>
              <w:top w:val="none" w:sz="1" w:color="aeaeae"/>
              <w:left w:val="single" w:sz="1" w:color="e0e0e0"/>
              <w:bottom w:val="none" w:sz="1" w:color="aeaeae"/>
              <w:bottom w:val="single" w:sz="1" w:color="152935"/>
              <w:right w:val="single" w:sz="1" w:color="e0e0e0"/>
              <w:right w:val="none" w:sz="1" w:color="aeaeae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Statistic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Time period label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152935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Period end date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05-OCT-2025 00:00:00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05-OCT-2025 00:00:00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4005857646 00:00:00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05-OCT-2025 00:00:00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00:00:00.000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size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319.96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320.00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190945.28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7.7122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.04999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7.86581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61.871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9.721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259.144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 dollars (USD)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556082369.69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556082369.70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37020682249.06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1495241.4172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67176.61727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10570235.92400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111729887489110.280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22.429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731.757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20920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555811157.61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555811158.10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37175995921.30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1777055.2544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80797.17495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11686299.60199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136569598387378.160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19.789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579.551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17820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589206394.95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589206395.20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35941953611.50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2016944.6471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100741.04777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13448080.90893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180850880133152.750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19.554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534.409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20920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555811157.61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555811158.10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37175995921.30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1777055.2544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80797.17495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11686299.60199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136569598387378.160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19.789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579.551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 sold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144293774.00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144293774.20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9898037056.30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399775.3163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17322.19924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2725646.81234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7429150545629.334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21.249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682.630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20920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137658308.60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137658309.60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9851277747.10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470902.3780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20955.37258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3030932.23730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9186550227102.814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18.909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524.228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17820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148401924.60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148401925.60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9540535042.60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535383.5602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24673.88025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3293755.08026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10848822528713.262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18.060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489.318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20920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137658308.60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137658309.60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9851277747.10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470902.3780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20955.37258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3030932.23730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9186550227102.814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18.909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524.228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TDP (time distribution parameter)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99.90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501618.70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20.2601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.20213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31.80518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1011.570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1.525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.807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tdp_yago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20920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448312.40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21.4298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.22393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32.38884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1049.037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1.443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.548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tdp_2_yago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17820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383836.70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21.5397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.24327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32.47438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1054.586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1.432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.517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tdp_pp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20920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448312.40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21.4298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.22393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32.38884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1049.037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1.443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.548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dollars_tdp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62649134.92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62649135.12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3756882643.33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151738.0606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4076.57343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641448.53794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411456226826.505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43.117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3731.122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dollars_tdp_yago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20864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66195166.17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66195171.07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3617325803.64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173376.4285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4955.91612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715851.16178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512442885819.303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42.748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3543.872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dollars_tdp_2_yago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17728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72509942.53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3.57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72509946.10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3281577485.92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185107.0333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6014.80645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800850.64206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641361750887.320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46.256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3819.399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dollars_tdp_pp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20864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66195166.17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66195171.07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3617325803.64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173376.4285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4955.91612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715851.16178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512442885819.303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42.748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3543.872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units_tdp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9025331.70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9025332.80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1176368910.10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47512.7796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1131.36447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178020.11921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31691162844.268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17.059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540.869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units_tdp_yago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20864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8703550.60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8703553.00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1139622905.10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54621.4966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1331.90658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192385.59499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37012217158.444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15.519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444.246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units_tdp_2_yago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17728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10971940.90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10971943.00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1047367360.10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59079.8376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1558.46869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207504.70752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43058203641.465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19.439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720.308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units_tdp_pp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20864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8703550.60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8703553.00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1139622905.10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54621.4966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1331.90658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192385.59499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37012217158.444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15.519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444.246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110172.00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109.00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110281.00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1064134866.00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42979.7191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333.74418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52514.62279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2757785607.042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-1.749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110625.00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108.00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110733.00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1068253053.00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43146.0500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335.16075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52737.51991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2781246006.759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-1.749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108258.00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108.00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108366.00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1045981187.00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42246.5038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327.88445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51592.59532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2661795891.869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-1.749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110625.00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108.00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110733.00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1068253053.00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43146.0500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335.16075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52737.51991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2781246006.759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-1.749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of_stores_selling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93596.00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93596.00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41948242.00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1694.2624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41.08119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6464.12200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41784873.191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8.292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83.046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of_stores_selling_yago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20920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94433.00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94433.00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37560202.00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1795.4207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46.06762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6663.10392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44396953.866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7.985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76.895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of_stores_selling_2_yago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17820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92046.00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92046.00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32571686.00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1827.8163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50.23283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6705.66000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44965876.012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7.825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73.798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of_stores_selling_pp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20920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94433.00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94433.00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37560202.00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1795.4207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46.06762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6663.10392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44396953.866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7.985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76.895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pct_of_stores_selling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454032.30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18.3381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.19661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30.93594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957.033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1.672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1.273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pct_of_stores_selling_yago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20920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406222.70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19.4179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.21815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31.55230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995.548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1.586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.977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pct_of_stores_selling_2_yago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17820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347884.20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19.5221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.23687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31.61961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999.800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1.578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.952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pct_of_stores_selling_pp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20920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100.00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406222.70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19.4179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.21815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31.55230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995.548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1.586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.977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average_weekly_dollars_per_store_selling_per_item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4955.13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4955.14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418090.28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16.8891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.37050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58.29310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3398.086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35.197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2394.449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average_weekly_dollars_per_store_selling_per_item_yago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20836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5322.16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5322.22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400234.44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19.2088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.44333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63.99313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4095.121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36.341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2512.477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average_weekly_dollars_per_store_selling_per_item_2_yago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17704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5790.40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5790.45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371472.49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20.9824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.52358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69.66562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4853.298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40.175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2885.482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average_weekly_dollars_per_store_selling_per_item_pp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20836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5322.16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5322.22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400234.44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19.2088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.44333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63.99313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4095.121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36.341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2512.477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average_weekly_units_per_store_selling_per_item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569.30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569.30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108101.50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4.3669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.06311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9.93018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98.608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15.160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545.599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average_weekly_units_per_store_selling_per_item_yago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20836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609.40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609.40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104377.70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5.0095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.07706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11.12286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123.718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14.996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526.234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average_weekly_units_per_store_selling_per_item_2_yago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17704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661.20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661.20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99477.10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5.6189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.08815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11.72915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137.573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15.506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616.990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average_weekly_units_per_store_selling_per_item_pp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20836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609.40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609.40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104377.70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5.0095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.07706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11.12286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123.718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14.996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526.234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Velocity (Dollars per TDP)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61203385.75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61203385.85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3639182130.58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146984.2130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4008.08338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630671.63334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397746709094.161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42.934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3658.287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1-year growth (fraction)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20920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2568412.47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2568411.47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7673669.02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366.8102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154.19395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22302.22420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497389204.383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94.425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9741.154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2-year CAGR (fraction)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17820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2412.12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2411.12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23255.43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1.3050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.19797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26.42782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698.430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59.549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4655.028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product_level_code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subcategory_code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101634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4.10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2.246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5.046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.617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-.815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brand_code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1178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1179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15396985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621.87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2.084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327.977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107569.056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-1.215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unit_of_measure_code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49065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1.98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.134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-7.189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49.685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ln_dollars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24.74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-4.61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20.14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260873.40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10.5365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.02148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3.38007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11.425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-.592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.243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ln_units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20.40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18.79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230435.65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9.3071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.02108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3.31725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11.004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-.586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.235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ln_tdp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6.91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-2.30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25809.47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1.0424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.01505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2.36795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5.607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.042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-1.334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ln_of_stores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6.92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4.69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11.61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223203.38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9.0150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.01351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2.12522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4.517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.127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-1.222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ln_pct_stores_selling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23790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6.22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26024.75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1.0939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.01400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2.16012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4.666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.273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-1.315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tdp_units_inter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24759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115.57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-30.40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85.18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367356.59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14.8373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.15969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25.12797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631.415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.489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.016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-.889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pct_stores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Studentized Residual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20061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35.95777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-29.55033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6.40743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-2.31209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-.0001153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.00707769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1.00246213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1.005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-2.388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.017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44.841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N (listwise)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aeaeae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0</w:t>
            </w:r>
          </w:p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aeaeae"/>
            </w:tcBorders>
            <w:shd w:color="auto" w:val="clear" w:fill="f9f9fb"/>
          </w:tcPr>
          <w:p/>
        </w:tc>
        <w:tc>
          <w:tcPr>
            <w:tcBorders>
              <w:top w:val="single" w:sz="1" w:color="aeaeae"/>
              <w:left w:val="single" w:sz="1" w:color="e0e0e0"/>
              <w:bottom w:val="single" w:sz="1" w:color="aeaeae"/>
              <w:bottom w:val="single" w:sz="1" w:color="152935"/>
              <w:right w:val="single" w:sz="1" w:color="e0e0e0"/>
              <w:right w:val="none" w:sz="1" w:color="aeaeae"/>
              <w:right w:val="none" w:sz="1" w:color="152935"/>
            </w:tcBorders>
            <w:shd w:color="auto" w:val="clear" w:fill="f9f9fb"/>
          </w:tcPr>
          <w:p/>
        </w:tc>
      </w:tr>
    </w:tbl>
    <w:p>
      <w:r/>
    </w:p>
    <w:tbl>
      <w:tblPr>
        <w:tblW w:w="0" w:type="auto"/>
        <w:jc w:val=""/>
        <w:tblLayout w:type="fixed"/>
      </w:tblPr>
      <w:tblGrid>
        <w:gridCol w:w="2788"/>
        <w:gridCol w:w="1173"/>
      </w:tblGrid>
      <w:tr>
        <w:tc>
          <w:tcPr>
            <w:hMerge w:val="restart"/>
            <w:vAlign w:val="center"/>
          </w:tcPr>
          <w:tcPr>
            <w:shd w:color="auto" w:val="clear" w:fill="ffffff"/>
          </w:tcPr>
          <w:p>
            <w:pPr>
              <w:spacing w:after="30" w:before="5"/>
              <w:ind w:left="30" w:right="40"/>
              <w:jc w:val="center"/>
            </w:pPr>
            <w:r>
              <w:rPr>
                <w:b w:val="on"/>
                <w:rFonts w:ascii="Arial" w:hAnsi="Arial" w:cs="Arial" w:eastAsia="Arial"/>
                <w:sz w:val="28"/>
                <w:color w:val="010205"/>
              </w:rPr>
              <w:t>Descriptive Statistics</w:t>
            </w:r>
          </w:p>
        </w:tc>
        <w:tc>
          <w:tcPr>
            <w:hMerge w:val="continue"/>
          </w:tcPr>
          <w:p/>
        </w:tc>
      </w:tr>
      <w:tr>
        <w:tc>
          <w:tcPr>
            <w:vMerge w:val="restart"/>
            <w:tcBorders>
              <w:top w:val="none" w:sz="1" w:color="152935"/>
              <w:left w:val="none" w:sz="1" w:color="152935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5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</w:r>
          </w:p>
        </w:tc>
        <w:tc>
          <w:tcPr>
            <w:tcBorders>
              <w:top w:val="none" w:sz="1" w:color="152935"/>
              <w:left w:val="none" w:sz="1" w:color="152935"/>
              <w:bottom w:val="non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Kurtosis</w:t>
            </w:r>
          </w:p>
        </w:tc>
      </w:tr>
      <w:tr>
        <w:tc>
          <w:tcPr>
            <w:vMerge w:val="continue"/>
            <w:tcBorders>
              <w:top w:val="none" w:sz="1" w:color="152935"/>
              <w:left w:val="none" w:sz="1" w:color="152935"/>
              <w:right w:val="none" w:sz="1" w:color="152935"/>
            </w:tcBorders>
          </w:tcPr>
          <w:p/>
        </w:tc>
        <w:tc>
          <w:tcPr>
            <w:tcBorders>
              <w:top w:val="none" w:sz="1" w:color="aeaeae"/>
              <w:left w:val="none" w:sz="1" w:color="152935"/>
              <w:bottom w:val="none" w:sz="1" w:color="aeaeae"/>
              <w:bottom w:val="single" w:sz="1" w:color="152935"/>
              <w:right w:val="single" w:sz="1" w:color="e0e0e0"/>
              <w:right w:val="none" w:sz="1" w:color="aeaeae"/>
              <w:right w:val="none" w:sz="1" w:color="152935"/>
            </w:tcBorders>
            <w:vAlign w:val="bottom"/>
          </w:tcPr>
          <w:tcPr>
            <w:shd w:color="auto" w:val="clear" w:fill="ffffff"/>
          </w:tcPr>
          <w:p>
            <w:pPr>
              <w:spacing w:after="10" w:before="10"/>
              <w:ind w:left="30" w:right="40"/>
              <w:jc w:val="center"/>
            </w:pPr>
            <w:r>
              <w:rPr>
                <w:rFonts w:ascii="Arial" w:hAnsi="Arial" w:cs="Arial" w:eastAsia="Arial"/>
                <w:sz w:val="24"/>
                <w:color w:val="264a60"/>
              </w:rPr>
              <w:t>Std. Error</w:t>
            </w:r>
          </w:p>
        </w:tc>
      </w:tr>
      <w:tr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Time period label</w:t>
            </w:r>
          </w:p>
        </w:tc>
        <w:tc>
          <w:tcPr>
            <w:tcBorders>
              <w:top w:val="single" w:sz="1" w:color="152935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Period end date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size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Total dollars (USD)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 sold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TDP (time distribution parameter)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tdp_yago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tdp_2_yago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tdp_pp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dollars_tdp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dollars_tdp_yago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dollars_tdp_2_yago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dollars_tdp_pp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units_tdp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units_tdp_yago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units_tdp_2_yago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units_tdp_pp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of_stores_selling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of_stores_selling_yago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of_stores_selling_2_yago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of_stores_selling_pp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pct_of_stores_selling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pct_of_stores_selling_yago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pct_of_stores_selling_2_yago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pct_of_stores_selling_pp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average_weekly_dollars_per_store_selling_per_item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average_weekly_dollars_per_store_selling_per_item_yago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average_weekly_dollars_per_store_selling_per_item_2_yago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average_weekly_dollars_per_store_selling_per_item_pp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average_weekly_units_per_store_selling_per_item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average_weekly_units_per_store_selling_per_item_yago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average_weekly_units_per_store_selling_per_item_2_yago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average_weekly_units_per_store_selling_per_item_pp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Velocity (Dollars per TDP)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1-year growth (fraction)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.034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2-year CAGR (fraction)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.037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product_level_code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subcategory_code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brand_code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unit_of_measure_code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ln_dollars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ln_units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ln_tdp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ln_of_stores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ln_pct_stores_selling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.032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tdp_units_inter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.031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pct_stores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shd w:color="auto" w:val="clear" w:fill="f9f9fb"/>
          </w:tcPr>
          <w:p/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Studentized Residual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right w:val="single" w:sz="1" w:color="e0e0e0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f9f9fb"/>
          </w:tcPr>
          <w:p>
            <w:pPr>
              <w:spacing w:after="10" w:before="15"/>
              <w:ind w:left="30" w:right="40"/>
              <w:jc w:val="right"/>
            </w:pPr>
            <w:r>
              <w:rPr>
                <w:rFonts w:ascii="Arial" w:hAnsi="Arial" w:cs="Arial" w:eastAsia="Arial"/>
                <w:sz w:val="24"/>
                <w:color w:val="010205"/>
              </w:rPr>
              <w:t>.035</w:t>
            </w:r>
          </w:p>
        </w:tc>
      </w:tr>
      <w:tr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none" w:sz="1" w:color="aeaeae"/>
              <w:right w:val="none" w:sz="1" w:color="152935"/>
            </w:tcBorders>
            <w:vAlign w:val="top"/>
          </w:tcPr>
          <w:tcPr>
            <w:shd w:color="auto" w:val="clear" w:fill="e0e0e0"/>
          </w:tcPr>
          <w:p>
            <w:pPr>
              <w:spacing w:after="10" w:before="15"/>
              <w:ind w:left="30" w:right="40"/>
              <w:jc w:val="left"/>
            </w:pPr>
            <w:r>
              <w:rPr>
                <w:rFonts w:ascii="Arial" w:hAnsi="Arial" w:cs="Arial" w:eastAsia="Arial"/>
                <w:sz w:val="24"/>
                <w:color w:val="264a60"/>
              </w:rPr>
              <w:t>Valid N (listwise)</w:t>
            </w:r>
          </w:p>
        </w:tc>
        <w:tc>
          <w:tcPr>
            <w:tcBorders>
              <w:top w:val="single" w:sz="1" w:color="aeaeae"/>
              <w:left w:val="none" w:sz="1" w:color="152935"/>
              <w:bottom w:val="single" w:sz="1" w:color="aeaeae"/>
              <w:bottom w:val="single" w:sz="1" w:color="152935"/>
              <w:right w:val="single" w:sz="1" w:color="e0e0e0"/>
              <w:right w:val="none" w:sz="1" w:color="aeaeae"/>
              <w:right w:val="none" w:sz="1" w:color="152935"/>
            </w:tcBorders>
            <w:shd w:color="auto" w:val="clear" w:fill="f9f9fb"/>
          </w:tcPr>
          <w:p/>
        </w:tc>
      </w:tr>
    </w:tbl>
    <w:sectPr>
      <w:pgSz w:h="15840" w:w="12240" w:orient="portrait"/>
      <w:pgMar w:left="360" w:top="360" w:right="360" w:bottom="80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2025-11-14T21:48:35Z</dcterms:created>
  <dc:creator>IBM SPSS Statistics</dc:creator>
</cp:coreProperties>
</file>