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1996E" w14:textId="74606319" w:rsidR="00F44F92" w:rsidRDefault="00F44F92" w:rsidP="00F44F92">
      <w:pPr>
        <w:rPr>
          <w:b/>
          <w:bCs/>
        </w:rPr>
      </w:pPr>
      <w:r>
        <w:rPr>
          <w:b/>
          <w:bCs/>
        </w:rPr>
        <w:t>Vivienda Ana Larrea</w:t>
      </w:r>
    </w:p>
    <w:p w14:paraId="12056588" w14:textId="3B315A4A" w:rsidR="00F44F92" w:rsidRPr="00F44F92" w:rsidRDefault="00F44F92" w:rsidP="00F44F92">
      <w:pPr>
        <w:rPr>
          <w:b/>
          <w:bCs/>
        </w:rPr>
      </w:pPr>
      <w:r w:rsidRPr="00F44F92">
        <w:rPr>
          <w:b/>
          <w:bCs/>
        </w:rPr>
        <w:t>Memoria Descriptiva y Conceptual: Proyecto Residencial "Casa 10x11"</w:t>
      </w:r>
    </w:p>
    <w:p w14:paraId="7414D949" w14:textId="77777777" w:rsidR="00F44F92" w:rsidRPr="00F44F92" w:rsidRDefault="00F44F92" w:rsidP="00F44F92">
      <w:pPr>
        <w:rPr>
          <w:b/>
          <w:bCs/>
        </w:rPr>
      </w:pPr>
      <w:r w:rsidRPr="00F44F92">
        <w:rPr>
          <w:b/>
          <w:bCs/>
        </w:rPr>
        <w:t>1. Implantación y Enfoque Conceptual</w:t>
      </w:r>
    </w:p>
    <w:p w14:paraId="5EE0BF47" w14:textId="77777777" w:rsidR="00F44F92" w:rsidRPr="00F44F92" w:rsidRDefault="00F44F92" w:rsidP="00F44F92">
      <w:r w:rsidRPr="00F44F92">
        <w:t>El proyecto se desplanta sobre un lote urbano optimizado, planteando una vivienda unifamiliar que responde a la necesidad de densificación inteligente sin sacrificar el confort, la privacidad ni la relación con el entorno inmediato.</w:t>
      </w:r>
    </w:p>
    <w:p w14:paraId="6F16E713" w14:textId="77777777" w:rsidR="00F44F92" w:rsidRPr="00F44F92" w:rsidRDefault="00F44F92" w:rsidP="00F44F92">
      <w:r w:rsidRPr="00F44F92">
        <w:t xml:space="preserve">El diseño formal se compone a partir de un </w:t>
      </w:r>
      <w:r w:rsidRPr="00F44F92">
        <w:rPr>
          <w:b/>
          <w:bCs/>
        </w:rPr>
        <w:t>juego volumétrico sutil e invertido</w:t>
      </w:r>
      <w:r w:rsidRPr="00F44F92">
        <w:t>: un zócalo frontal (cerramiento) que se alinea a la escala de la calle para brindar seguridad y enmarcar los accesos, y un volumen superior retranqueado que libera espacio para terrazas y optimiza la entrada de luz natural. La fachada interior juega con llenos y vacíos mediante grandes paños acristalados que jerarquizan la zona pública y el núcleo de circulaciones, contrastando con la calidez de los revestimientos tipo madera y la textura de la piedra en los planos ciegos.</w:t>
      </w:r>
    </w:p>
    <w:p w14:paraId="5CABAD66" w14:textId="77777777" w:rsidR="00F44F92" w:rsidRPr="00F44F92" w:rsidRDefault="00F44F92" w:rsidP="00F44F92">
      <w:pPr>
        <w:rPr>
          <w:b/>
          <w:bCs/>
        </w:rPr>
      </w:pPr>
      <w:r w:rsidRPr="00F44F92">
        <w:rPr>
          <w:b/>
          <w:bCs/>
        </w:rPr>
        <w:t>2. Organización Funcional y Zonificación</w:t>
      </w:r>
    </w:p>
    <w:p w14:paraId="412818AB" w14:textId="77777777" w:rsidR="00F44F92" w:rsidRPr="00F44F92" w:rsidRDefault="00F44F92" w:rsidP="00F44F92">
      <w:r w:rsidRPr="00F44F92">
        <w:t>El programa arquitectónico se distribuye de manera clara y eficiente en dos niveles, separando las dinámicas sociales de las privadas:</w:t>
      </w:r>
    </w:p>
    <w:p w14:paraId="3A472034" w14:textId="77777777" w:rsidR="00F44F92" w:rsidRPr="00F44F92" w:rsidRDefault="00F44F92" w:rsidP="00F44F92">
      <w:pPr>
        <w:numPr>
          <w:ilvl w:val="0"/>
          <w:numId w:val="1"/>
        </w:numPr>
      </w:pPr>
      <w:r w:rsidRPr="00F44F92">
        <w:rPr>
          <w:b/>
          <w:bCs/>
        </w:rPr>
        <w:t>Planta Baja (Zona Social, Servicios y Trabajo):</w:t>
      </w:r>
      <w:r w:rsidRPr="00F44F92">
        <w:t xml:space="preserve"> El ingreso peatonal se jerarquiza a través de un porche que conduce directamente a un espacio integrado de sala y comedor. Este gran espacio social se conecta visualmente con el exterior y la circulación vertical a través de ventanales de piso a techo. La cocina se independiza estratégicamente en la parte posterior, vinculándose de forma fluida con un desayunador/barra y manteniendo una relación directa con el patio posterior y el área de barbacoa exterior. Hacia el frente y con un acceso controlado, se dispone una oficina/estudio independiente, ideal para el trabajo remoto. El ala de servicios (lavandería, bodega y baño social) se agrupa de manera compacta para optimizar las ingenierías y las bajantes. El estacionamiento cubierto permite el resguardo de vehículos liberando el frente visual de la vivienda.</w:t>
      </w:r>
    </w:p>
    <w:p w14:paraId="55AB3AB0" w14:textId="77777777" w:rsidR="00F44F92" w:rsidRPr="00F44F92" w:rsidRDefault="00F44F92" w:rsidP="00F44F92">
      <w:pPr>
        <w:numPr>
          <w:ilvl w:val="0"/>
          <w:numId w:val="1"/>
        </w:numPr>
      </w:pPr>
      <w:r w:rsidRPr="00F44F92">
        <w:rPr>
          <w:b/>
          <w:bCs/>
        </w:rPr>
        <w:t>Planta Alta (Zona Privada y Descanso):</w:t>
      </w:r>
      <w:r w:rsidRPr="00F44F92">
        <w:t xml:space="preserve"> Articulada por un vestíbulo central que recibe iluminación natural, la planta alta alberga cuatro dormitorios. Dos dormitorios principales cuentan con baño privado y clóset (uno de ellos con acceso directo a una amplia terraza frontal con antepecho acristalado). Los otros dos dormitorios comparten un baño completo estratégicamente ubicado. La distribución minimiza los pasillos inútiles, maximizando el área útil de las habitaciones y garantizando ventilación cruzada en todos los locales.</w:t>
      </w:r>
    </w:p>
    <w:p w14:paraId="24F75CF0" w14:textId="77777777" w:rsidR="00F44F92" w:rsidRPr="00F44F92" w:rsidRDefault="00F44F92" w:rsidP="00F44F92">
      <w:pPr>
        <w:rPr>
          <w:b/>
          <w:bCs/>
        </w:rPr>
      </w:pPr>
      <w:r w:rsidRPr="00F44F92">
        <w:rPr>
          <w:b/>
          <w:bCs/>
        </w:rPr>
        <w:t>3. Criterios Estructurales y Constructivos</w:t>
      </w:r>
    </w:p>
    <w:p w14:paraId="40B52559" w14:textId="77777777" w:rsidR="00F44F92" w:rsidRPr="00F44F92" w:rsidRDefault="00F44F92" w:rsidP="00F44F92">
      <w:pPr>
        <w:numPr>
          <w:ilvl w:val="0"/>
          <w:numId w:val="2"/>
        </w:numPr>
      </w:pPr>
      <w:r w:rsidRPr="00F44F92">
        <w:rPr>
          <w:b/>
          <w:bCs/>
        </w:rPr>
        <w:t>Estructura Portante:</w:t>
      </w:r>
      <w:r w:rsidRPr="00F44F92">
        <w:t xml:space="preserve"> El proyecto se soluciona mediante un sistema de pórticos de hormigón armado (columnas y vigas), modulado de forma regular para garantizar eficiencia estructural, sismorresistencia y una ejecución limpia en obra.</w:t>
      </w:r>
    </w:p>
    <w:p w14:paraId="0066B016" w14:textId="77777777" w:rsidR="00F44F92" w:rsidRPr="00F44F92" w:rsidRDefault="00F44F92" w:rsidP="00F44F92">
      <w:pPr>
        <w:numPr>
          <w:ilvl w:val="0"/>
          <w:numId w:val="2"/>
        </w:numPr>
      </w:pPr>
      <w:r w:rsidRPr="00F44F92">
        <w:rPr>
          <w:b/>
          <w:bCs/>
        </w:rPr>
        <w:t>Mampostería:</w:t>
      </w:r>
      <w:r w:rsidRPr="00F44F92">
        <w:t xml:space="preserve"> Cerramientos exteriores e interiores de ladrillo visto/bloque según la zona, asegurando un excelente comportamiento térmico y acústico entre locales.</w:t>
      </w:r>
    </w:p>
    <w:p w14:paraId="7E7DECEB" w14:textId="77777777" w:rsidR="00F44F92" w:rsidRPr="00F44F92" w:rsidRDefault="00F44F92" w:rsidP="00F44F92">
      <w:pPr>
        <w:rPr>
          <w:b/>
          <w:bCs/>
        </w:rPr>
      </w:pPr>
      <w:r w:rsidRPr="00F44F92">
        <w:rPr>
          <w:b/>
          <w:bCs/>
        </w:rPr>
        <w:lastRenderedPageBreak/>
        <w:t>4. Materialidad y Sostenibilidad Pasiva</w:t>
      </w:r>
    </w:p>
    <w:p w14:paraId="3FF6E4AA" w14:textId="77777777" w:rsidR="00F44F92" w:rsidRPr="00F44F92" w:rsidRDefault="00F44F92" w:rsidP="00F44F92">
      <w:r w:rsidRPr="00F44F92">
        <w:t>La paleta de materiales busca un equilibrio contemporáneo entre la honestidad constructiva y el confort visual:</w:t>
      </w:r>
    </w:p>
    <w:p w14:paraId="7DAF2831" w14:textId="77777777" w:rsidR="00F44F92" w:rsidRPr="00F44F92" w:rsidRDefault="00F44F92" w:rsidP="00F44F92">
      <w:pPr>
        <w:numPr>
          <w:ilvl w:val="0"/>
          <w:numId w:val="3"/>
        </w:numPr>
      </w:pPr>
      <w:r w:rsidRPr="00F44F92">
        <w:rPr>
          <w:b/>
          <w:bCs/>
        </w:rPr>
        <w:t>Revestimientos:</w:t>
      </w:r>
      <w:r w:rsidRPr="00F44F92">
        <w:t xml:space="preserve"> Contraste de enlucidos blancos lisos con paneles texturizados de madera tecnológica (para baja manutención frente a la intemperie) y piedra clara en fachada, complementado con pisos de madera en espiga para los interiores, aportando calidez a las zonas de estancia.</w:t>
      </w:r>
    </w:p>
    <w:p w14:paraId="43A5E938" w14:textId="77777777" w:rsidR="00F44F92" w:rsidRPr="00F44F92" w:rsidRDefault="00F44F92" w:rsidP="00F44F92">
      <w:pPr>
        <w:numPr>
          <w:ilvl w:val="0"/>
          <w:numId w:val="3"/>
        </w:numPr>
      </w:pPr>
      <w:r w:rsidRPr="00F44F92">
        <w:rPr>
          <w:b/>
          <w:bCs/>
        </w:rPr>
        <w:t>Vidrio y Aluminios:</w:t>
      </w:r>
      <w:r w:rsidRPr="00F44F92">
        <w:t xml:space="preserve"> Carpinterías de aluminio anodizado gris oscuro con vidrio laminado de seguridad. Las aperturas verticales en fachada no solo jerarquizan la estética exterior, sino que funcionan como chimeneas de luz y ventilación natural para el núcleo de escaleras y estancias principales, reduciendo el consumo energético de la vivienda.</w:t>
      </w:r>
    </w:p>
    <w:p w14:paraId="6C85AB1E" w14:textId="77777777" w:rsidR="00A03601" w:rsidRDefault="00A03601"/>
    <w:sectPr w:rsidR="00A036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1CA2"/>
    <w:multiLevelType w:val="multilevel"/>
    <w:tmpl w:val="4EC8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72EB1"/>
    <w:multiLevelType w:val="multilevel"/>
    <w:tmpl w:val="10B2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D74887"/>
    <w:multiLevelType w:val="multilevel"/>
    <w:tmpl w:val="7000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658344">
    <w:abstractNumId w:val="2"/>
  </w:num>
  <w:num w:numId="2" w16cid:durableId="1695769519">
    <w:abstractNumId w:val="1"/>
  </w:num>
  <w:num w:numId="3" w16cid:durableId="1154418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F92"/>
    <w:rsid w:val="00115B0F"/>
    <w:rsid w:val="00A03601"/>
    <w:rsid w:val="00F4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CE22B"/>
  <w15:chartTrackingRefBased/>
  <w15:docId w15:val="{8F5BD7EF-4E39-4A2F-8925-9D03742D0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4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4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4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4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4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4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4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4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4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4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4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4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4F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4F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4F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4F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4F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4F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4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4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4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4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4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4F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4F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4F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4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4F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4F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Escobar Noboa</dc:creator>
  <cp:keywords/>
  <dc:description/>
  <cp:lastModifiedBy>Ernesto Escobar Noboa</cp:lastModifiedBy>
  <cp:revision>1</cp:revision>
  <dcterms:created xsi:type="dcterms:W3CDTF">2026-05-20T00:37:00Z</dcterms:created>
  <dcterms:modified xsi:type="dcterms:W3CDTF">2026-05-20T00:38:00Z</dcterms:modified>
</cp:coreProperties>
</file>