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17365D"/>
          <w:sz w:val="32"/>
        </w:rPr>
        <w:t>ACTIVIDAD 4: GESTIÓN DE FINANZAS</w:t>
      </w:r>
    </w:p>
    <w:p>
      <w:pPr>
        <w:spacing w:after="240"/>
      </w:pPr>
      <w:r>
        <w:rPr>
          <w:i/>
          <w:color w:val="244B7A"/>
          <w:sz w:val="22"/>
        </w:rPr>
        <w:t>Proyecto Integrador: Monchis Café — Plataforma Web y POS Seguro para Cafetería Orgánica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D9E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Cátedra / Materia: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Gestión de Finanzas / Proyecto Integrador de Software</w:t>
            </w:r>
          </w:p>
        </w:tc>
      </w:tr>
      <w:tr>
        <w:tc>
          <w:tcPr>
            <w:tcW w:type="dxa" w:w="3168"/>
            <w:shd w:fill="D9E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Docente Evaluador: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Dr. Gabriel Navarro Salcedo</w:t>
            </w:r>
          </w:p>
        </w:tc>
      </w:tr>
      <w:tr>
        <w:tc>
          <w:tcPr>
            <w:tcW w:type="dxa" w:w="3168"/>
            <w:shd w:fill="D9E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Estudiante: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Ernesto Hatuey Fierro Meléndez (Código: 215487963)</w:t>
            </w:r>
          </w:p>
        </w:tc>
      </w:tr>
      <w:tr>
        <w:tc>
          <w:tcPr>
            <w:tcW w:type="dxa" w:w="3168"/>
            <w:shd w:fill="D9E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Fecha de Entrega: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24 de Octubre de 2026 | Ponderación: 4% del 100%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7365D"/>
          <w:sz w:val="24"/>
        </w:rPr>
        <w:t>1. Resumen Ejecutivo de Indicadores Financieros</w:t>
      </w:r>
    </w:p>
    <w:p>
      <w:r>
        <w:t>A continuación se presenta el consolidado de las variables económicas del proyecto, modeladas dinámicamente en la plantilla oficial y vinculadas a la hoja ESTRATEGIA DE VENTA: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Indicador Financiero</w:t>
            </w:r>
          </w:p>
        </w:tc>
        <w:tc>
          <w:tcPr>
            <w:tcW w:type="dxa" w:w="234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Monto Proyectado</w:t>
            </w:r>
          </w:p>
        </w:tc>
        <w:tc>
          <w:tcPr>
            <w:tcW w:type="dxa" w:w="234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% s/ Venta</w:t>
            </w:r>
          </w:p>
        </w:tc>
        <w:tc>
          <w:tcPr>
            <w:tcW w:type="dxa" w:w="234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Interpretación Operativa</w:t>
            </w:r>
          </w:p>
        </w:tc>
      </w:tr>
      <w:tr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Costo Base Total (CTB)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$573,160.08 MXN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63.6%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Costos empresariales directos, indirectos, nómina y financiamiento.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Fondo de Contingencia (10%)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$57,316.01 MXN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6.4%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Reserva de mitigación ante riesgos técnicos y variaciones cloud.</w:t>
            </w:r>
          </w:p>
        </w:tc>
      </w:tr>
      <w:tr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COSTO TOTAL DEL PROYECTO (CTP)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$630,476.09 MXN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70.0%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Inversión neta requerida por la empresa para producir la solución.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Margen de Utilidad s/ Venta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30.0%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Rendimiento comercial pactado sobre el precio sin impuestos.</w:t>
            </w:r>
          </w:p>
        </w:tc>
      </w:tr>
      <w:tr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PRECIO DE VENTA SIN IVA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$900,680.12 MXN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100.0%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Cotización contractual llave en mano: CTP / (1 - Margen).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IVA Trasladado (16%)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$144,108.82 MXN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16.0%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Impuesto fiscal trasladado acreditable para el cliente contra sus débitos de IVA.</w:t>
            </w:r>
          </w:p>
        </w:tc>
      </w:tr>
      <w:tr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PRECIO TOTAL FACTURADO CON IVA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$1,044,788.94 MXN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116.0%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Monto total formalizado convenido en la propuesta económica.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UTILIDAD ANTES DE ISR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$270,204.04 MXN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30.0%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Ganancia empresarial antes de ISR corporativo anual para solvencia e I+D.</w:t>
            </w:r>
          </w:p>
        </w:tc>
      </w:tr>
      <w:tr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ISR Corporativo Estimado (30%)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$81,061.21 MXN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9.0%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Provisión estimada del impuesto sobre la renta empresarial (LISR art. 9).</w:t>
            </w:r>
          </w:p>
        </w:tc>
      </w:tr>
      <w:tr>
        <w:tc>
          <w:tcPr>
            <w:tcW w:type="dxa" w:w="234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UTILIDAD ESTIMADA DESPUÉS DE ISR</w:t>
            </w:r>
          </w:p>
        </w:tc>
        <w:tc>
          <w:tcPr>
            <w:tcW w:type="dxa" w:w="234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$189,142.83 MXN</w:t>
            </w:r>
          </w:p>
        </w:tc>
        <w:tc>
          <w:tcPr>
            <w:tcW w:type="dxa" w:w="234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21.0%</w:t>
            </w:r>
          </w:p>
        </w:tc>
        <w:tc>
          <w:tcPr>
            <w:tcW w:type="dxa" w:w="234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Beneficio neto proyectado disponible tras obligaciones tributarias.</w:t>
            </w:r>
          </w:p>
        </w:tc>
      </w:tr>
      <w:tr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Punto de Equilibrio (Soluciones)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 Solución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Un contrato llave en mano absorbe la estructura de costos operativos.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Punto de Equilibrio en Pesos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$602,641.80 MXN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66.9%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Facturación mínima sin IVA necesaria para cubrir costos fijos y variables.</w:t>
            </w:r>
          </w:p>
        </w:tc>
      </w:tr>
      <w:tr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Margen de Seguridad Comercial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33.1%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  <w:tc>
          <w:tcPr>
            <w:tcW w:type="dxa" w:w="234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Margen de tolerancia frente a contingencias antes de entrar en pérdidas.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7365D"/>
          <w:sz w:val="24"/>
        </w:rPr>
        <w:t>2. Cuadro Justificativo Financiero (Pertinencia de Costos - 50%)</w:t>
      </w:r>
    </w:p>
    <w:p>
      <w:r>
        <w:t>Desglose analítico que justifica la pertinencia técnica, operativa y económica de cada rubro presupuestal: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Rubro Presupuestal</w:t>
            </w:r>
          </w:p>
        </w:tc>
        <w:tc>
          <w:tcPr>
            <w:tcW w:type="dxa" w:w="1872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Importe (MXN)</w:t>
            </w:r>
          </w:p>
        </w:tc>
        <w:tc>
          <w:tcPr>
            <w:tcW w:type="dxa" w:w="1872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% s/ CTP</w:t>
            </w:r>
          </w:p>
        </w:tc>
        <w:tc>
          <w:tcPr>
            <w:tcW w:type="dxa" w:w="1872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Criterio Técnico y Justificación</w:t>
            </w:r>
          </w:p>
        </w:tc>
        <w:tc>
          <w:tcPr>
            <w:tcW w:type="dxa" w:w="1872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Impacto en Calidad y Riesgos</w:t>
            </w:r>
          </w:p>
        </w:tc>
      </w:tr>
      <w:tr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Nómina y Carga Patronal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$465,400.00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73.81%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4 perfiles (Scrum Master/DevOps, Frontend Vue 3, Backend Node.js, QA) por 16 semanas. Sueldos brutos de $89.5k/mes más estimación del 30% de carga patronal (IMSS, Infonavit 5%, ISN 3%).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Garantiza 8 sprints bajo TDD (&gt;80% cobertura) y reduce el riesgo de rotación técnica mediante compensaciones de mercado.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Gastos Fijos de Operación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$60,000.00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9.52%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Coworking ($6k/mes), energía ($1.2k), fibra simétrica ($1.5k), despacho contable ($2.5k), herramientas SaaS ($1.8k), gestión comercial ($1k) y suministros ($1k) ($15k/mes).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Asegura entorno ininterrumpido para CI/CD, soporte fiscal para timbrado CFDI 4.0 y herramientas de trabajo colaborativo.</w:t>
            </w:r>
          </w:p>
        </w:tc>
      </w:tr>
      <w:tr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Costos Directos (10 rubros)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$26,800.00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4.25%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GCP ($7.2k), GitHub/Sentry ($2.4k), CloudAMQP RabbitMQ ($2.2k), dominio/SSL ($950), dispositivos ($3k), pentesting ($4.5k), viáticos ($3k), papel/cables ($850), SAST ($1.2k) y otros ($1.5k).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Sustenta arquitectura orientada a eventos (Saga/DLQ), seguridad de datos de pago y validación física en barra.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Inversión Inicial Asignada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$19,638.89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3.11%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Depreciación en 4 meses según vida útil fiscal: 4 laptops (36 meses), mobiliario (60 meses), red (36 meses), licencias IDEs y kit POS ($19.6k de $148.8k).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Aplica devengo contable: el proyecto absorbe únicamente el desgaste real de los activos productivos durante su ejecución.</w:t>
            </w:r>
          </w:p>
        </w:tc>
      </w:tr>
      <w:tr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Intereses de Financiamiento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$1,321.19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0.21%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Crédito de $40,000.00 MXN al 18% anual a 24 meses. Interés promedio prorrateado a 4 meses ($1,321.19 MXN) para anticipar compra de activos y absorber desfases del anticipo.</w:t>
            </w:r>
          </w:p>
        </w:tc>
        <w:tc>
          <w:tcPr>
            <w:tcW w:type="dxa" w:w="1872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Evita demoras operativas en el arranque derivadas de tiempos de dispersión bancaria de la primera transferencia.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Fondo de Contingencia (10%)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$57,316.01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9.09%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Reserva estratégica del 10% s/ costo base para fluctuaciones en tarifas cloud en dólares, inflación o retrabajos técnicos menores.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Absorbe imprevistos y constituye el único colchón financiero ante la ausencia de roles dedicados de DevOps, DBA o UX.</w:t>
            </w:r>
          </w:p>
        </w:tc>
      </w:tr>
      <w:tr>
        <w:tc>
          <w:tcPr>
            <w:tcW w:type="dxa" w:w="1872"/>
            <w:shd w:fill="D9E2E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TOTAL COSTO DEL PROYECTO</w:t>
            </w:r>
          </w:p>
        </w:tc>
        <w:tc>
          <w:tcPr>
            <w:tcW w:type="dxa" w:w="1872"/>
            <w:shd w:fill="D9E2E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$630,476.09</w:t>
            </w:r>
          </w:p>
        </w:tc>
        <w:tc>
          <w:tcPr>
            <w:tcW w:type="dxa" w:w="1872"/>
            <w:shd w:fill="D9E2E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100.00%</w:t>
            </w:r>
          </w:p>
        </w:tc>
        <w:tc>
          <w:tcPr>
            <w:tcW w:type="dxa" w:w="1872"/>
            <w:shd w:fill="D9E2E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Inversión integral necesaria para diseñar, probar y liberar en producción el software Monchis Café.</w:t>
            </w:r>
          </w:p>
        </w:tc>
        <w:tc>
          <w:tcPr>
            <w:tcW w:type="dxa" w:w="1872"/>
            <w:shd w:fill="D9E2E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Base matemática y analítica sólida que respalda una cotización justa, viable y rentable.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7365D"/>
          <w:sz w:val="24"/>
        </w:rPr>
        <w:t>3. Estrategia Comercial de Venta según Costo y Utilidad (35%)</w:t>
      </w:r>
    </w:p>
    <w:p>
      <w:pPr>
        <w:keepNext/>
        <w:spacing w:before="200" w:after="60"/>
      </w:pPr>
      <w:r>
        <w:rPr>
          <w:rFonts w:ascii="Arial" w:hAnsi="Arial"/>
          <w:b/>
          <w:color w:val="244B7A"/>
          <w:sz w:val="22"/>
        </w:rPr>
        <w:t>3.1 Modelo de Fijación de Precios: Margen Comercial vs Recargo (Markup)</w:t>
      </w:r>
    </w:p>
    <w:p>
      <w:r>
        <w:t>La cotización del software se formuló a partir del margen comercial sobre ventas, garantizando que el 30.0% del monto facturado antes de impuestos se traduzca en utilidad para la empresa desarrolladora:</w:t>
        <w:br/>
        <w:t>• Precio de Venta sin IVA = CTP / (1 - Margen) = $630,476.09 / 0.70 = $900,680.12 MXN.</w:t>
        <w:br/>
        <w:t>• Utilidad antes de ISR Proyectada = $900,680.12 - $630,476.09 = $270,204.04 MXN (Margen real: 30.0%).</w:t>
        <w:br/>
        <w:t>• Facturación con IVA (16%) = $900,680.12 x 1.16 = $1,044,788.94 MXN.</w:t>
        <w:br/>
        <w:t>• Utilidad después de ISR (30%): $189,142.83 MXN (21.0% de las ventas). Mención de PTU (10% constitucional).</w:t>
      </w:r>
    </w:p>
    <w:p>
      <w:pPr>
        <w:keepNext/>
        <w:spacing w:before="200" w:after="60"/>
      </w:pPr>
      <w:r>
        <w:rPr>
          <w:rFonts w:ascii="Arial" w:hAnsi="Arial"/>
          <w:b/>
          <w:color w:val="244B7A"/>
          <w:sz w:val="22"/>
        </w:rPr>
        <w:t>3.2 Modelo de Negocio Híbrido: Venta Inicial + Ingresos Recurrentes</w:t>
      </w:r>
    </w:p>
    <w:p>
      <w:r>
        <w:t>1. Venta Inicial Llave en Mano ($900,680.12 MXN + IVA): Licenciamiento y puesta en producción de la plataforma web, POS táctil y microservicios en GCP.</w:t>
        <w:br/>
        <w:t>2. Póliza de Soporte, Mantenimiento Evolutivo y SLA ($18,500.00 MXN + IVA/mes a partir del Mes 5): Disponibilidad del 99.5%, respuesta a incidentes críticos de caja &lt; 2 horas en horario operativo, monitoreo de RabbitMQ DLQ y parches de seguridad (ARR de $222,000.00 MXN con 55% de margen).</w:t>
        <w:br/>
        <w:t>3. Licenciamiento por Franquicia / Sucursal ($45,000.00 MXN de cuota única por nueva tienda + $3,500.00 MXN/mes de soporte y mantenimiento por sucursal).</w:t>
      </w:r>
    </w:p>
    <w:p>
      <w:pPr>
        <w:keepNext/>
        <w:spacing w:before="200" w:after="60"/>
      </w:pPr>
      <w:r>
        <w:rPr>
          <w:rFonts w:ascii="Arial" w:hAnsi="Arial"/>
          <w:b/>
          <w:color w:val="244B7A"/>
          <w:sz w:val="22"/>
        </w:rPr>
        <w:t>3.3 Propuesta de Valor y Retorno de Inversión (Payback) para Monchis Café</w:t>
      </w:r>
    </w:p>
    <w:p>
      <w:r>
        <w:t>Los beneficios mensuales estimados corresponden a estimaciones preliminares sujetas a validación con datos reales del negocio:</w:t>
        <w:br/>
        <w:t>• Reducción de mermas de café orgánico (-22%): Ahorro mensual de $14,500.00 MXN mediante rotación PEPS.</w:t>
        <w:br/>
        <w:t>• Incremento en ticket promedio (+24%): $38,500.00 MXN mensuales por fidelización Monchis Rewards.</w:t>
        <w:br/>
        <w:t>• Eliminación de fugas en caja (-98%): Recuperación mensual de $9,200.00 MXN por conciliación automática.</w:t>
        <w:br/>
        <w:t>• Clientes nuevos por SEO local y Google Maps: $16,800.00 MXN mensuales adicionales.</w:t>
        <w:br/>
        <w:t>• Beneficio mensual bruto total: $79,000.00 MXN/mes ($948,000.00 MXN al año).</w:t>
        <w:br/>
        <w:br/>
        <w:t>Evaluación del Período de Recuperación (Payback Period):</w:t>
        <w:br/>
        <w:t>1. Payback Bruto: $900,680.12 / $79,000.00 = 11.4 meses (sin descontar póliza ni costo de ventas).</w:t>
        <w:br/>
        <w:t>2. Payback Neto con Póliza SLA: $900,680.12 / ($79,000.00 - $18,500.00) = $900,680.12 / $60,500.00 = 14.9 meses.</w:t>
        <w:br/>
        <w:t>3. Payback Prudente (60% margen en ventas adicionales, beneficio neto de $56,880.00/mes): Plazo sin póliza: 15.8 meses; plazo neto con póliza ($38,380.00/mes): 23.5 meses.</w:t>
      </w:r>
    </w:p>
    <w:p>
      <w:pPr>
        <w:keepNext/>
        <w:spacing w:before="200" w:after="60"/>
      </w:pPr>
      <w:r>
        <w:rPr>
          <w:rFonts w:ascii="Arial" w:hAnsi="Arial"/>
          <w:b/>
          <w:color w:val="244B7A"/>
          <w:sz w:val="22"/>
        </w:rPr>
        <w:t>3.4 Esquema de Cierre y Pagos por 6 Hitos Ágiles</w:t>
      </w:r>
    </w:p>
    <w:p>
      <w:r>
        <w:t>El plan de cobro escalonado asegura certidumbre contra entregables en Staging:</w:t>
        <w:br/>
        <w:t>• Hito 0 (Firma y Arranque): Anticipo del 20% ($180,136.02 MXN sin IVA). Monorepo, Docker Compose, Prisma y licencias.</w:t>
        <w:br/>
        <w:t>• Hito 1 (Sprint 2 - Backend &amp; Seguridad): 15% ($135,102.02 MXN). Backend Core, JWT stateless, RBAC y reCAPTCHA.</w:t>
        <w:br/>
        <w:t>• Hito 2 (Sprint 4 - Eventos RabbitMQ &amp; Frontend Vue 3): 15% ($135,102.02 MXN). Broker CloudAMQP, Patrón Saga y vistas prerenderizadas.</w:t>
        <w:br/>
        <w:t>• Hito 3 (Sprint 6 - POS mostrador &amp; Trazabilidad ODS 12): 15% ($135,102.02 MXN). POS táctil, pagos mixtos y trazabilidad.</w:t>
        <w:br/>
        <w:t>• Hito 4 (Sprint 8 - Dashboard analítico &amp; Testing Vitest/Playwright): 15% ($135,102.02 MXN). Dashboard UTM y reporte SAST.</w:t>
        <w:br/>
        <w:t>• Hito 5 (Cierre y Despliegue GCP con Terraform): Finiquito del 20% ($180,136.02 MXN). Infraestructura productiva y entrega de llaves.</w:t>
      </w:r>
    </w:p>
    <w:p>
      <w:pPr>
        <w:keepNext/>
        <w:spacing w:before="200" w:after="60"/>
      </w:pPr>
      <w:r>
        <w:rPr>
          <w:rFonts w:ascii="Arial" w:hAnsi="Arial"/>
          <w:b/>
          <w:color w:val="244B7A"/>
          <w:sz w:val="22"/>
        </w:rPr>
        <w:t>3.5 Análisis de Sensibilidad y Escenarios de Rentabilidad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156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Margen</w:t>
            </w:r>
          </w:p>
        </w:tc>
        <w:tc>
          <w:tcPr>
            <w:tcW w:type="dxa" w:w="156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Precio sin IVA</w:t>
            </w:r>
          </w:p>
        </w:tc>
        <w:tc>
          <w:tcPr>
            <w:tcW w:type="dxa" w:w="156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Precio con IVA</w:t>
            </w:r>
          </w:p>
        </w:tc>
        <w:tc>
          <w:tcPr>
            <w:tcW w:type="dxa" w:w="156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Utilidad antes ISR</w:t>
            </w:r>
          </w:p>
        </w:tc>
        <w:tc>
          <w:tcPr>
            <w:tcW w:type="dxa" w:w="1560"/>
            <w:shd w:fill="17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Criterio de Negociación</w:t>
            </w:r>
          </w:p>
        </w:tc>
      </w:tr>
      <w:tr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Conservador (Piso Mínimo)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20.0%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$788,095.11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$914,190.33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$157,619.02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Piso de negociación que sacrifica margen comercial, no costos de desarrollo.</w:t>
            </w:r>
          </w:p>
        </w:tc>
      </w:tr>
      <w:tr>
        <w:tc>
          <w:tcPr>
            <w:tcW w:type="dxa" w:w="156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Esperado / Base (Recomendado)</w:t>
            </w:r>
          </w:p>
        </w:tc>
        <w:tc>
          <w:tcPr>
            <w:tcW w:type="dxa" w:w="156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30.0%</w:t>
            </w:r>
          </w:p>
        </w:tc>
        <w:tc>
          <w:tcPr>
            <w:tcW w:type="dxa" w:w="156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$900,680.12</w:t>
            </w:r>
          </w:p>
        </w:tc>
        <w:tc>
          <w:tcPr>
            <w:tcW w:type="dxa" w:w="156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$1,044,788.94</w:t>
            </w:r>
          </w:p>
        </w:tc>
        <w:tc>
          <w:tcPr>
            <w:tcW w:type="dxa" w:w="156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$270,204.04</w:t>
            </w:r>
          </w:p>
        </w:tc>
        <w:tc>
          <w:tcPr>
            <w:tcW w:type="dxa" w:w="1560"/>
            <w:shd w:fill="E2F0D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Propuesta base recomendada. Mantiene la rentabilidad del 30% proyectada.</w:t>
            </w:r>
          </w:p>
        </w:tc>
      </w:tr>
      <w:tr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Premium / Valor Agregado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35.0%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$969,963.21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$1,125,157.32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5"/>
              </w:rPr>
              <w:t>$339,487.12</w:t>
            </w:r>
          </w:p>
        </w:tc>
        <w:tc>
          <w:tcPr>
            <w:tcW w:type="dxa" w:w="1560"/>
            <w:shd w:fill="F0F4F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Paquete con 6 meses de póliza SLA 99.5% ($49,950 MXN costo asumido) y analítica avanzada. Utilidad ajustada post-SLA: $289,537.12 MXN (margen efectivo del 29.9%).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7365D"/>
          <w:sz w:val="24"/>
        </w:rPr>
        <w:t>4. Conclusiones y Reconocimiento de Límites del Modelo</w:t>
      </w:r>
    </w:p>
    <w:p>
      <w:r>
        <w:t>El ejercicio presupuestal confirma la complementariedad entre ingeniería de software y gestión financiera. No obstante, se reconocen los límites del modelo:</w:t>
        <w:br/>
        <w:t>1. La carga patronal del 30% es una estimación técnica sujeta a primas de riesgo IMSS definitivas.</w:t>
        <w:br/>
        <w:t>2. Los beneficios de mermas y ventas son supuestos preliminares que requerirán validación con registros históricos reales.</w:t>
        <w:br/>
        <w:t>3. Las variaciones en tarifas de cómputo en la nube e impacto cambiario USD/MXN se amortiguan mediante la reserva de contingencia del 10% ($57,316.01 MXN).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