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pPr>
    </w:p>
    <w:p>
      <w:pPr>
        <w:jc w:val="center"/>
      </w:pPr>
      <w:r>
        <w:rPr>
          <w:rFonts w:ascii="Calibri" w:hAnsi="Calibri"/>
          <w:b/>
          <w:color w:val="1B365D"/>
          <w:sz w:val="36"/>
        </w:rPr>
        <w:t>Monchis Café: Plataforma Web Segura para Cafetería Orgánica y Comercial</w:t>
        <w:br/>
        <w:t>Planificación Estratégica, Plan Operativo, Estimación COCOMO y Arquitectura de Software Alineada a los Objetivos de Desarrollo Sostenible (ODS)</w:t>
      </w:r>
    </w:p>
    <w:p>
      <w:pPr>
        <w:spacing w:before="360" w:after="1200"/>
        <w:jc w:val="center"/>
      </w:pPr>
      <w:r>
        <w:rPr>
          <w:rFonts w:ascii="Calibri" w:hAnsi="Calibri"/>
          <w:b/>
          <w:color w:val="008080"/>
          <w:sz w:val="26"/>
        </w:rPr>
        <w:t>PRODUCTO INTEGRADOR: PRESENTACIÓN DE PROYECTO — AVANCE</w:t>
      </w:r>
    </w:p>
    <w:p>
      <w:pPr>
        <w:spacing w:line="312" w:lineRule="auto"/>
        <w:jc w:val="center"/>
      </w:pPr>
      <w:r>
        <w:rPr>
          <w:rFonts w:ascii="Calibri" w:hAnsi="Calibri"/>
          <w:color w:val="46505F"/>
          <w:sz w:val="23"/>
        </w:rPr>
        <w:t>Autor / Líder de Proyecto: Ernesto Fierro</w:t>
        <w:br/>
        <w:t>Materia: Unidad 1. Administración de Proyectos</w:t>
        <w:br/>
        <w:t>Docente: Dr. Gabriel Navarro Salcedo</w:t>
        <w:br/>
        <w:t>Fecha de Entrega: 22 de Septiembre de 2026</w:t>
        <w:br/>
        <w:t>Modalidad: Desarrollo de Software con Metodología Ágil (SCRUM)</w:t>
      </w:r>
    </w:p>
    <w:p>
      <w:r>
        <w:br w:type="page"/>
      </w:r>
    </w:p>
    <w:p>
      <w:pPr>
        <w:keepNext/>
        <w:spacing w:before="360" w:after="160"/>
      </w:pPr>
      <w:r>
        <w:rPr>
          <w:rFonts w:ascii="Calibri" w:hAnsi="Calibri"/>
          <w:b/>
          <w:color w:val="1B365D"/>
          <w:sz w:val="32"/>
        </w:rPr>
        <w:t>Resumen Ejecutivo</w:t>
      </w:r>
    </w:p>
    <w:p>
      <w:pPr>
        <w:spacing w:after="120" w:line="276" w:lineRule="auto"/>
      </w:pPr>
      <w:r>
        <w:rPr>
          <w:rFonts w:ascii="Calibri" w:hAnsi="Calibri"/>
          <w:i w:val="0"/>
          <w:color w:val="212529"/>
          <w:sz w:val="22"/>
        </w:rPr>
        <w:t>El presente documento técnico integra la planificación estratégica y operativa para el desarrollo de 'Monchis Café', una plataforma web distribuida y segura orientada a resolver las ineficiencias de facturación en mostrador, el desperdicio de insumos y la falta de trazabilidad en cafeterías artesanales de especialidad. El proyecto se concibe bajo el marco ético y operativo de los Objetivos de Desarrollo Sostenible (ODS 8, 9, 12 y 16) de la Agenda 2030 de la ONU, asegurando que la arquitectura tecnológica aporte a la formalización del comercio justo, la eficiencia de cómputo en la nube (Green Software) y la transparencia financiera. Se presenta el diseño organizacional bajo el marco ágil SCRUM, la programación temporal por grafo PERT/CPM (16 semanas de ciclo de vida), la estimación algorítmica de costos mediante el modelo COCOMO 81 en sus modalidades Básica (97.53 PM) e Intermedia (77.54 PM, EAF 0.795), y el presupuesto integral de $418,275.00 MXN. Finalmente, se documenta la arquitectura de software basada en el Patrón Saga con RabbitMQ y el modelado UML completo, garantizando una consistencia transaccional y operativa del 100%.</w:t>
      </w:r>
    </w:p>
    <w:p>
      <w:pPr>
        <w:spacing w:after="120" w:line="276" w:lineRule="auto"/>
      </w:pPr>
      <w:r>
        <w:rPr>
          <w:rFonts w:ascii="Calibri" w:hAnsi="Calibri"/>
          <w:b/>
          <w:color w:val="212529"/>
          <w:sz w:val="22"/>
        </w:rPr>
        <w:t xml:space="preserve">Descriptores / </w:t>
      </w:r>
      <w:r>
        <w:rPr>
          <w:rFonts w:ascii="Calibri" w:hAnsi="Calibri"/>
          <w:i w:val="0"/>
          <w:color w:val="212529"/>
          <w:sz w:val="22"/>
        </w:rPr>
        <w:t>Palabras clave: Administración de proyectos de software, Objetivos de Desarrollo Sostenible (ODS), Modelo COCOMO, Metodología SCRUM, Patrón Saga, RabbitMQ, Punto de Venta (POS), Green Software Engineering, APA 7.</w:t>
      </w:r>
    </w:p>
    <w:p>
      <w:r>
        <w:br w:type="page"/>
      </w:r>
    </w:p>
    <w:p>
      <w:pPr>
        <w:keepNext/>
        <w:spacing w:before="360" w:after="160"/>
      </w:pPr>
      <w:r>
        <w:rPr>
          <w:rFonts w:ascii="Calibri" w:hAnsi="Calibri"/>
          <w:b/>
          <w:color w:val="1B365D"/>
          <w:sz w:val="32"/>
        </w:rPr>
        <w:t>1. Introducción y Marco de Desarrollo Sostenible (ODS)</w:t>
      </w:r>
    </w:p>
    <w:p>
      <w:pPr>
        <w:spacing w:after="120" w:line="276" w:lineRule="auto"/>
      </w:pPr>
      <w:r>
        <w:rPr>
          <w:rFonts w:ascii="Calibri" w:hAnsi="Calibri"/>
          <w:i w:val="0"/>
          <w:color w:val="212529"/>
          <w:sz w:val="22"/>
        </w:rPr>
        <w:t>En la ingeniería de software contemporánea, la gestión de proyectos no puede limitarse a variables aisladas de tiempo y costo. La sostenibilidad debe constituir un eje transversal en la toma de decisiones arquitectónicas y funcionales. Monchis Café surge como una respuesta directa a los desafíos de las micro, pequeñas y medianas empresas (MIPYMES) cafetaleras en México, articulando el software con cuatro Objetivos de Desarrollo Sostenible fundamentales:</w:t>
      </w:r>
    </w:p>
    <w:p>
      <w:pPr>
        <w:spacing w:after="120" w:line="276" w:lineRule="auto"/>
      </w:pPr>
      <w:r>
        <w:rPr>
          <w:rFonts w:ascii="Calibri" w:hAnsi="Calibri"/>
          <w:b/>
          <w:color w:val="212529"/>
          <w:sz w:val="22"/>
        </w:rPr>
        <w:t xml:space="preserve">• ODS 8: Trabajo Decente y Crecimiento Económico (Metas 8.2 y 8.3): </w:t>
      </w:r>
      <w:r>
        <w:rPr>
          <w:rFonts w:ascii="Calibri" w:hAnsi="Calibri"/>
          <w:i w:val="0"/>
          <w:color w:val="212529"/>
          <w:sz w:val="22"/>
        </w:rPr>
        <w:t>Digitalización integral del proceso de cobro en barra para reducir el tiempo de atención de 2.5 minutos a menos de 30 segundos, mitigando el estrés operativo de los baristas y eliminando pérdidas financieras por descuadres de caja. Asimismo, formaliza las relaciones comerciales con fincas cafetaleras regionales de Chiapas, Veracruz y Oaxaca.</w:t>
      </w:r>
    </w:p>
    <w:p>
      <w:pPr>
        <w:spacing w:after="120" w:line="276" w:lineRule="auto"/>
      </w:pPr>
      <w:r>
        <w:rPr>
          <w:rFonts w:ascii="Calibri" w:hAnsi="Calibri"/>
          <w:b/>
          <w:color w:val="212529"/>
          <w:sz w:val="22"/>
        </w:rPr>
        <w:t xml:space="preserve">• ODS 9: Industria, Innovación e Infraestructura (Metas 9.4 y 9.c): </w:t>
      </w:r>
      <w:r>
        <w:rPr>
          <w:rFonts w:ascii="Calibri" w:hAnsi="Calibri"/>
          <w:i w:val="0"/>
          <w:color w:val="212529"/>
          <w:sz w:val="22"/>
        </w:rPr>
        <w:t>Implementación de arquitectura monorepo de alto rendimiento con TypeScript (Vue 3, Next.js, Prisma) y colas asíncronas RabbitMQ bajo el estándar de Green Software Engineering, reduciendo el consumo de cómputo en la nube hasta en un 40% mediante prerenderizado estático (SSG).</w:t>
      </w:r>
    </w:p>
    <w:p>
      <w:pPr>
        <w:spacing w:after="120" w:line="276" w:lineRule="auto"/>
      </w:pPr>
      <w:r>
        <w:rPr>
          <w:rFonts w:ascii="Calibri" w:hAnsi="Calibri"/>
          <w:b/>
          <w:color w:val="212529"/>
          <w:sz w:val="22"/>
        </w:rPr>
        <w:t xml:space="preserve">• ODS 12: Producción y Consumo Responsables (Metas 12.2, 12.5 y 12.8): </w:t>
      </w:r>
      <w:r>
        <w:rPr>
          <w:rFonts w:ascii="Calibri" w:hAnsi="Calibri"/>
          <w:i w:val="0"/>
          <w:color w:val="212529"/>
          <w:sz w:val="22"/>
        </w:rPr>
        <w:t>Incentivo sistemático de la economía circular mediante el módulo 'Monchis Rewards', el cual otorga un descuento directo y sellos digitales a consumidores que acuden con termo o taza reutilizable, proyectando evitar el desecho de más de 4,500 vasos plásticos semestralmente. Adicionalmente, implementa el control PEPS (Primeras Entradas, Primeras Salidas) con alertas de caducidad para abatir mermas.</w:t>
      </w:r>
    </w:p>
    <w:p>
      <w:pPr>
        <w:spacing w:after="120" w:line="276" w:lineRule="auto"/>
      </w:pPr>
      <w:r>
        <w:rPr>
          <w:rFonts w:ascii="Calibri" w:hAnsi="Calibri"/>
          <w:b/>
          <w:color w:val="212529"/>
          <w:sz w:val="22"/>
        </w:rPr>
        <w:t xml:space="preserve">• ODS 16: Paz, Justicia e Instituciones Sólidas (Metas 16.5 y 16.6): </w:t>
      </w:r>
      <w:r>
        <w:rPr>
          <w:rFonts w:ascii="Calibri" w:hAnsi="Calibri"/>
          <w:i w:val="0"/>
          <w:color w:val="212529"/>
          <w:sz w:val="22"/>
        </w:rPr>
        <w:t>Garantía de transparencia transaccional y rendición de cuentas inmutable en base de datos. Se implementa seguridad estricta stateless (JWT con rotación de cookies seguras y Google reCAPTCHA v2/v3) para blindar la identidad de los usuarios y erradicar vulnerabilidades OWASP.</w:t>
      </w:r>
    </w:p>
    <w:p>
      <w:pPr>
        <w:keepNext/>
        <w:spacing w:before="280" w:after="120"/>
      </w:pPr>
      <w:r>
        <w:rPr>
          <w:rFonts w:ascii="Calibri" w:hAnsi="Calibri"/>
          <w:b/>
          <w:color w:val="008080"/>
          <w:sz w:val="26"/>
        </w:rPr>
        <w:t>1.1 Alcance del Sistema (Técnica MoSCoW)</w:t>
      </w:r>
    </w:p>
    <w:p>
      <w:pPr>
        <w:spacing w:after="120" w:line="276" w:lineRule="auto"/>
      </w:pPr>
      <w:r>
        <w:rPr>
          <w:rFonts w:ascii="Calibri" w:hAnsi="Calibri"/>
          <w:i w:val="0"/>
          <w:color w:val="212529"/>
          <w:sz w:val="22"/>
        </w:rPr>
        <w:t>Para garantizar la entrega en tiempo y forma en el ciclo de 16 semanas, los requerimientos se categorizan estrictamente mediante el método MoSCoW:</w:t>
      </w:r>
    </w:p>
    <w:p>
      <w:pPr>
        <w:spacing w:after="120" w:line="276" w:lineRule="auto"/>
      </w:pPr>
      <w:r>
        <w:rPr>
          <w:rFonts w:ascii="Calibri" w:hAnsi="Calibri"/>
          <w:b/>
          <w:color w:val="212529"/>
          <w:sz w:val="22"/>
        </w:rPr>
        <w:t xml:space="preserve">• Must Have (Indispensable): </w:t>
      </w:r>
      <w:r>
        <w:rPr>
          <w:rFonts w:ascii="Calibri" w:hAnsi="Calibri"/>
          <w:i w:val="0"/>
          <w:color w:val="212529"/>
          <w:sz w:val="22"/>
        </w:rPr>
        <w:t>Punto de Venta (POS) web táctil, autenticación stateless JWT con RBAC, trazabilidad de lotes orgánicos, orquestación del Patrón Saga con RabbitMQ para reversas transaccionales automáticas y base de datos relacional PostgreSQL con Prisma ORM.</w:t>
      </w:r>
    </w:p>
    <w:p>
      <w:pPr>
        <w:spacing w:after="120" w:line="276" w:lineRule="auto"/>
      </w:pPr>
      <w:r>
        <w:rPr>
          <w:rFonts w:ascii="Calibri" w:hAnsi="Calibri"/>
          <w:b/>
          <w:color w:val="212529"/>
          <w:sz w:val="22"/>
        </w:rPr>
        <w:t xml:space="preserve">• Should Have (Importante): </w:t>
      </w:r>
      <w:r>
        <w:rPr>
          <w:rFonts w:ascii="Calibri" w:hAnsi="Calibri"/>
          <w:i w:val="0"/>
          <w:color w:val="212529"/>
          <w:sz w:val="22"/>
        </w:rPr>
        <w:t>Módulo Monchis Rewards con bono ecológico por termo, panel administrativo con atribución de canales de marketing digital (Google Maps e Instagram vía parámetros UTM) y optimización SEO prerenderizada con vite-ssg.</w:t>
      </w:r>
    </w:p>
    <w:p>
      <w:pPr>
        <w:spacing w:after="120" w:line="276" w:lineRule="auto"/>
      </w:pPr>
      <w:r>
        <w:rPr>
          <w:rFonts w:ascii="Calibri" w:hAnsi="Calibri"/>
          <w:b/>
          <w:color w:val="212529"/>
          <w:sz w:val="22"/>
        </w:rPr>
        <w:t xml:space="preserve">• Could Have (Deseable): </w:t>
      </w:r>
      <w:r>
        <w:rPr>
          <w:rFonts w:ascii="Calibri" w:hAnsi="Calibri"/>
          <w:i w:val="0"/>
          <w:color w:val="212529"/>
          <w:sz w:val="22"/>
        </w:rPr>
        <w:t>Alertas automatizadas de inventario mínimo y DLQ (Dead Letter Queue) por correo electrónico, y exportación estructurada de reportes en PDF y Excel.</w:t>
      </w:r>
    </w:p>
    <w:p>
      <w:pPr>
        <w:spacing w:after="120" w:line="276" w:lineRule="auto"/>
      </w:pPr>
      <w:r>
        <w:rPr>
          <w:rFonts w:ascii="Calibri" w:hAnsi="Calibri"/>
          <w:b/>
          <w:color w:val="212529"/>
          <w:sz w:val="22"/>
        </w:rPr>
        <w:t xml:space="preserve">• Won't Have (Postergado para Fase 2): </w:t>
      </w:r>
      <w:r>
        <w:rPr>
          <w:rFonts w:ascii="Calibri" w:hAnsi="Calibri"/>
          <w:i w:val="0"/>
          <w:color w:val="212529"/>
          <w:sz w:val="22"/>
        </w:rPr>
        <w:t>Timbrado de facturación electrónica ante el SAT (CFDI 4.0) y desarrollo de aplicaciones móviles nativas iOS/Android (se opta por una Progressive Web App responsive en Fase 1).</w:t>
      </w:r>
    </w:p>
    <w:p>
      <w:pPr>
        <w:keepNext/>
        <w:spacing w:before="360" w:after="160"/>
      </w:pPr>
      <w:r>
        <w:rPr>
          <w:rFonts w:ascii="Calibri" w:hAnsi="Calibri"/>
          <w:b/>
          <w:color w:val="1B365D"/>
          <w:sz w:val="32"/>
        </w:rPr>
        <w:t>2. Posicionamiento Estratégico y Planteamiento del Problema</w:t>
      </w:r>
    </w:p>
    <w:p>
      <w:pPr>
        <w:spacing w:after="120" w:line="276" w:lineRule="auto"/>
      </w:pPr>
      <w:r>
        <w:rPr>
          <w:rFonts w:ascii="Calibri" w:hAnsi="Calibri"/>
          <w:i w:val="0"/>
          <w:color w:val="212529"/>
          <w:sz w:val="22"/>
        </w:rPr>
        <w:t>Las cafeterías artesanales de especialidad enfrentan un triple cuello de botella: primero, una operativa manual propensa a errores humanos en los arqueos de caja y lentitud en horas pico; segundo, mermas significativas derivadas de la rápida degradación organoléptica del grano de café tostado cuando no existe un control estricto de rotación; y tercero, un impacto ecológico negativo derivado del alto uso de empaques desechables de un solo uso.</w:t>
      </w:r>
    </w:p>
    <w:p>
      <w:pPr>
        <w:spacing w:after="120" w:line="276" w:lineRule="auto"/>
      </w:pPr>
      <w:r>
        <w:rPr>
          <w:rFonts w:ascii="Calibri" w:hAnsi="Calibri"/>
          <w:i w:val="0"/>
          <w:color w:val="212529"/>
          <w:sz w:val="22"/>
        </w:rPr>
        <w:t>Monchis Café se posiciona como una plataforma tecnológica integral 'todo en uno' diseñada específicamente para MIPYMES gastronómicas sostenibles. A diferencia de los sistemas POS genéricos comerciales que implican altas rentas mensuales y carecen de lógica de fidelización ambiental, nuestra plataforma integra la trazabilidad del grano desde la finca hasta la taza, recompensa activamente las conductas sustentables del consumidor y asegura que cada peso cobrado esté auditado y protegido contra fallas de red.</w:t>
      </w:r>
    </w:p>
    <w:p>
      <w:pPr>
        <w:keepNext/>
        <w:spacing w:before="360" w:after="160"/>
      </w:pPr>
      <w:r>
        <w:rPr>
          <w:rFonts w:ascii="Calibri" w:hAnsi="Calibri"/>
          <w:b/>
          <w:color w:val="1B365D"/>
          <w:sz w:val="32"/>
        </w:rPr>
        <w:t>3. Desarrollo del Plan Estratégico</w:t>
      </w:r>
    </w:p>
    <w:p>
      <w:pPr>
        <w:keepNext/>
        <w:spacing w:before="280" w:after="120"/>
      </w:pPr>
      <w:r>
        <w:rPr>
          <w:rFonts w:ascii="Calibri" w:hAnsi="Calibri"/>
          <w:b/>
          <w:color w:val="008080"/>
          <w:sz w:val="26"/>
        </w:rPr>
        <w:t>3.1 Identidad Corporativa</w:t>
      </w:r>
    </w:p>
    <w:p>
      <w:pPr>
        <w:spacing w:after="120" w:line="276" w:lineRule="auto"/>
      </w:pPr>
      <w:r>
        <w:rPr>
          <w:rFonts w:ascii="Calibri" w:hAnsi="Calibri"/>
          <w:b/>
          <w:color w:val="212529"/>
          <w:sz w:val="22"/>
        </w:rPr>
        <w:t xml:space="preserve">• Misión: </w:t>
      </w:r>
      <w:r>
        <w:rPr>
          <w:rFonts w:ascii="Calibri" w:hAnsi="Calibri"/>
          <w:i w:val="0"/>
          <w:color w:val="212529"/>
          <w:sz w:val="22"/>
        </w:rPr>
        <w:t>Proveer una experiencia gastronómica de café de especialidad excepcional, impulsada por tecnología digital limpia y transparente que visibilice el trabajo ético de las cooperativas agrícolas y erradique el desperdicio en beneficio de la comunidad y el medio ambiente.</w:t>
      </w:r>
    </w:p>
    <w:p>
      <w:pPr>
        <w:spacing w:after="120" w:line="276" w:lineRule="auto"/>
      </w:pPr>
      <w:r>
        <w:rPr>
          <w:rFonts w:ascii="Calibri" w:hAnsi="Calibri"/>
          <w:b/>
          <w:color w:val="212529"/>
          <w:sz w:val="22"/>
        </w:rPr>
        <w:t xml:space="preserve">• Visión: </w:t>
      </w:r>
      <w:r>
        <w:rPr>
          <w:rFonts w:ascii="Calibri" w:hAnsi="Calibri"/>
          <w:i w:val="0"/>
          <w:color w:val="212529"/>
          <w:sz w:val="22"/>
        </w:rPr>
        <w:t>Consolidarse para 2028 como la solución tecnológica y de negocio líder para cafeterías artesanales en México, siendo referente internacional de desarrollo de software sustentable (Green IT) y economía circular.</w:t>
      </w:r>
    </w:p>
    <w:p>
      <w:pPr>
        <w:spacing w:after="120" w:line="276" w:lineRule="auto"/>
      </w:pPr>
      <w:r>
        <w:rPr>
          <w:rFonts w:ascii="Calibri" w:hAnsi="Calibri"/>
          <w:b/>
          <w:color w:val="212529"/>
          <w:sz w:val="22"/>
        </w:rPr>
        <w:t xml:space="preserve">• Valores: </w:t>
      </w:r>
      <w:r>
        <w:rPr>
          <w:rFonts w:ascii="Calibri" w:hAnsi="Calibri"/>
          <w:i w:val="0"/>
          <w:color w:val="212529"/>
          <w:sz w:val="22"/>
        </w:rPr>
        <w:t>Sostenibilidad ambiental, transparencia transaccional, excelencia técnica, comercio justo y responsabilidad social comunitaria.</w:t>
      </w:r>
    </w:p>
    <w:p>
      <w:pPr>
        <w:keepNext/>
        <w:spacing w:before="280" w:after="120"/>
      </w:pPr>
      <w:r>
        <w:rPr>
          <w:rFonts w:ascii="Calibri" w:hAnsi="Calibri"/>
          <w:b/>
          <w:color w:val="008080"/>
          <w:sz w:val="26"/>
        </w:rPr>
        <w:t>3.2 Mapa Estratégico (Balanced Scorecard / CMI)</w:t>
      </w:r>
    </w:p>
    <w:p>
      <w:pPr>
        <w:spacing w:after="120" w:line="276" w:lineRule="auto"/>
      </w:pPr>
      <w:r>
        <w:rPr>
          <w:rFonts w:ascii="Calibri" w:hAnsi="Calibri"/>
          <w:i w:val="0"/>
          <w:color w:val="212529"/>
          <w:sz w:val="22"/>
        </w:rPr>
        <w:t>El mapa estratégico traduce los ideales corporativos en objetivos medibles estructurados en cuatro perspectivas interconectadas por relaciones causa-efecto:</w:t>
      </w:r>
    </w:p>
    <w:p>
      <w:pPr>
        <w:spacing w:after="120" w:line="276" w:lineRule="auto"/>
      </w:pPr>
      <w:r>
        <w:rPr>
          <w:rFonts w:ascii="Calibri" w:hAnsi="Calibri"/>
          <w:b/>
          <w:color w:val="212529"/>
          <w:sz w:val="22"/>
        </w:rPr>
        <w:t xml:space="preserve">1. Perspectiva Financiera &amp; ODS: </w:t>
      </w:r>
      <w:r>
        <w:rPr>
          <w:rFonts w:ascii="Calibri" w:hAnsi="Calibri"/>
          <w:i w:val="0"/>
          <w:color w:val="212529"/>
          <w:sz w:val="22"/>
        </w:rPr>
        <w:t>Maximizar la rentabilidad de la cafetería reduciendo pérdidas por mermas a &lt;1.5% y disminuyendo el gasto recurrente en insumos desechables mediante el incentivo de termos.</w:t>
      </w:r>
    </w:p>
    <w:p>
      <w:pPr>
        <w:spacing w:after="120" w:line="276" w:lineRule="auto"/>
      </w:pPr>
      <w:r>
        <w:rPr>
          <w:rFonts w:ascii="Calibri" w:hAnsi="Calibri"/>
          <w:b/>
          <w:color w:val="212529"/>
          <w:sz w:val="22"/>
        </w:rPr>
        <w:t xml:space="preserve">2. Perspectiva de Clientes: </w:t>
      </w:r>
      <w:r>
        <w:rPr>
          <w:rFonts w:ascii="Calibri" w:hAnsi="Calibri"/>
          <w:i w:val="0"/>
          <w:color w:val="212529"/>
          <w:sz w:val="22"/>
        </w:rPr>
        <w:t>Ofrecer una atención en mostrador ágil (&lt;30 segundos), empoderando al cliente con la historia de su café y premiando su lealtad ecológica con cashback digital.</w:t>
      </w:r>
    </w:p>
    <w:p>
      <w:pPr>
        <w:spacing w:after="120" w:line="276" w:lineRule="auto"/>
      </w:pPr>
      <w:r>
        <w:rPr>
          <w:rFonts w:ascii="Calibri" w:hAnsi="Calibri"/>
          <w:b/>
          <w:color w:val="212529"/>
          <w:sz w:val="22"/>
        </w:rPr>
        <w:t xml:space="preserve">3. Perspectiva de Procesos Internos: </w:t>
      </w:r>
      <w:r>
        <w:rPr>
          <w:rFonts w:ascii="Calibri" w:hAnsi="Calibri"/>
          <w:i w:val="0"/>
          <w:color w:val="212529"/>
          <w:sz w:val="22"/>
        </w:rPr>
        <w:t>Asegurar consistencia transaccional absoluta mediante RabbitMQ Saga, erradicar descuadres de caja y optimizar la rotación PEPS del inventario.</w:t>
      </w:r>
    </w:p>
    <w:p>
      <w:pPr>
        <w:spacing w:after="120" w:line="276" w:lineRule="auto"/>
      </w:pPr>
      <w:r>
        <w:rPr>
          <w:rFonts w:ascii="Calibri" w:hAnsi="Calibri"/>
          <w:b/>
          <w:color w:val="212529"/>
          <w:sz w:val="22"/>
        </w:rPr>
        <w:t xml:space="preserve">4. Perspectiva de Aprendizaje y Crecimiento: </w:t>
      </w:r>
      <w:r>
        <w:rPr>
          <w:rFonts w:ascii="Calibri" w:hAnsi="Calibri"/>
          <w:i w:val="0"/>
          <w:color w:val="212529"/>
          <w:sz w:val="22"/>
        </w:rPr>
        <w:t>Fomentar la cultura de ingeniería de software moderna (TDD, Monorepos, CI/CD automatizado) y capacitar al equipo en ciberseguridad y métricas de desempeño.</w:t>
      </w:r>
    </w:p>
    <w:p>
      <w:pPr>
        <w:keepNext/>
        <w:spacing w:before="280" w:after="120"/>
      </w:pPr>
      <w:r>
        <w:rPr>
          <w:rFonts w:ascii="Calibri" w:hAnsi="Calibri"/>
          <w:b/>
          <w:color w:val="008080"/>
          <w:sz w:val="26"/>
        </w:rPr>
        <w:t>3.3 Matriz DOFA y Cruces Estratégicos</w:t>
      </w:r>
    </w:p>
    <w:p>
      <w:pPr>
        <w:spacing w:after="120" w:line="276" w:lineRule="auto"/>
      </w:pPr>
      <w:r>
        <w:rPr>
          <w:rFonts w:ascii="Calibri" w:hAnsi="Calibri"/>
          <w:i w:val="0"/>
          <w:color w:val="212529"/>
          <w:sz w:val="22"/>
        </w:rPr>
        <w:t>Se efectuó el diagnóstico integral de factores internos y externos, formulando las siguientes estrategias de impacto:</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B365D"/>
          </w:tcPr>
          <w:p>
            <w:r>
              <w:rPr>
                <w:rFonts w:ascii="Calibri" w:hAnsi="Calibri"/>
                <w:b/>
                <w:color w:val="FFFFFF"/>
                <w:sz w:val="20"/>
              </w:rPr>
              <w:t>Cuadrante Estratégico</w:t>
            </w:r>
          </w:p>
        </w:tc>
        <w:tc>
          <w:tcPr>
            <w:tcW w:type="dxa" w:w="3120"/>
            <w:shd w:val="clear" w:color="auto" w:fill="1B365D"/>
          </w:tcPr>
          <w:p>
            <w:r>
              <w:rPr>
                <w:rFonts w:ascii="Calibri" w:hAnsi="Calibri"/>
                <w:b/>
                <w:color w:val="FFFFFF"/>
                <w:sz w:val="20"/>
              </w:rPr>
              <w:t>Estrategia Formulada</w:t>
            </w:r>
          </w:p>
        </w:tc>
        <w:tc>
          <w:tcPr>
            <w:tcW w:type="dxa" w:w="3120"/>
            <w:shd w:val="clear" w:color="auto" w:fill="1B365D"/>
          </w:tcPr>
          <w:p>
            <w:r>
              <w:rPr>
                <w:rFonts w:ascii="Calibri" w:hAnsi="Calibri"/>
                <w:b/>
                <w:color w:val="FFFFFF"/>
                <w:sz w:val="20"/>
              </w:rPr>
              <w:t>Justificación e Impacto</w:t>
            </w:r>
          </w:p>
        </w:tc>
      </w:tr>
      <w:tr>
        <w:tc>
          <w:tcPr>
            <w:tcW w:type="dxa" w:w="3120"/>
            <w:shd w:val="clear" w:color="auto" w:fill="EAEFF5"/>
          </w:tcPr>
          <w:p>
            <w:pPr>
              <w:spacing w:after="40"/>
            </w:pPr>
            <w:r>
              <w:rPr>
                <w:rFonts w:ascii="Calibri" w:hAnsi="Calibri"/>
                <w:b/>
                <w:sz w:val="19"/>
              </w:rPr>
              <w:t>Estrategias FO (Maxi-Maxi)</w:t>
            </w:r>
          </w:p>
        </w:tc>
        <w:tc>
          <w:tcPr>
            <w:tcW w:type="dxa" w:w="3120"/>
            <w:shd w:val="clear" w:color="auto" w:fill="FFFFFF"/>
          </w:tcPr>
          <w:p>
            <w:pPr>
              <w:spacing w:after="40"/>
            </w:pPr>
            <w:r>
              <w:rPr>
                <w:rFonts w:ascii="Calibri" w:hAnsi="Calibri"/>
                <w:sz w:val="19"/>
              </w:rPr>
              <w:t>E-FO1: Impulsar campañas de captación geolocalizadas en Instagram y Google Maps destacando la trazabilidad de fincas y el bono por termo.</w:t>
            </w:r>
          </w:p>
        </w:tc>
        <w:tc>
          <w:tcPr>
            <w:tcW w:type="dxa" w:w="3120"/>
            <w:shd w:val="clear" w:color="auto" w:fill="FFFFFF"/>
          </w:tcPr>
          <w:p>
            <w:pPr>
              <w:spacing w:after="40"/>
            </w:pPr>
            <w:r>
              <w:rPr>
                <w:rFonts w:ascii="Calibri" w:hAnsi="Calibri"/>
                <w:sz w:val="19"/>
              </w:rPr>
              <w:t>Aprovecha la alta demanda de consumo ético con el motor de atribución UTM del software.</w:t>
            </w:r>
          </w:p>
        </w:tc>
      </w:tr>
      <w:tr>
        <w:tc>
          <w:tcPr>
            <w:tcW w:type="dxa" w:w="3120"/>
            <w:shd w:val="clear" w:color="auto" w:fill="EAEFF5"/>
          </w:tcPr>
          <w:p>
            <w:pPr>
              <w:spacing w:after="40"/>
            </w:pPr>
            <w:r>
              <w:rPr>
                <w:rFonts w:ascii="Calibri" w:hAnsi="Calibri"/>
                <w:b/>
                <w:sz w:val="19"/>
              </w:rPr>
              <w:t>Estrategias DO (Mini-Maxi)</w:t>
            </w:r>
          </w:p>
        </w:tc>
        <w:tc>
          <w:tcPr>
            <w:tcW w:type="dxa" w:w="3120"/>
            <w:shd w:val="clear" w:color="auto" w:fill="F4F6F8"/>
          </w:tcPr>
          <w:p>
            <w:pPr>
              <w:spacing w:after="40"/>
            </w:pPr>
            <w:r>
              <w:rPr>
                <w:rFonts w:ascii="Calibri" w:hAnsi="Calibri"/>
                <w:sz w:val="19"/>
              </w:rPr>
              <w:t>E-DO1: Diseñar interfaces táctiles minimalistas con tutoriales embebidos para capacitar a los baristas en menos de 2 horas.</w:t>
            </w:r>
          </w:p>
        </w:tc>
        <w:tc>
          <w:tcPr>
            <w:tcW w:type="dxa" w:w="3120"/>
            <w:shd w:val="clear" w:color="auto" w:fill="F4F6F8"/>
          </w:tcPr>
          <w:p>
            <w:pPr>
              <w:spacing w:after="40"/>
            </w:pPr>
            <w:r>
              <w:rPr>
                <w:rFonts w:ascii="Calibri" w:hAnsi="Calibri"/>
                <w:sz w:val="19"/>
              </w:rPr>
              <w:t>Supera la curva de aprendizaje del personal aprovechando el vacío digital en cafeterías artesanales.</w:t>
            </w:r>
          </w:p>
        </w:tc>
      </w:tr>
      <w:tr>
        <w:tc>
          <w:tcPr>
            <w:tcW w:type="dxa" w:w="3120"/>
            <w:shd w:val="clear" w:color="auto" w:fill="EAEFF5"/>
          </w:tcPr>
          <w:p>
            <w:pPr>
              <w:spacing w:after="40"/>
            </w:pPr>
            <w:r>
              <w:rPr>
                <w:rFonts w:ascii="Calibri" w:hAnsi="Calibri"/>
                <w:b/>
                <w:sz w:val="19"/>
              </w:rPr>
              <w:t>Estrategias FA (Maxi-Mini)</w:t>
            </w:r>
          </w:p>
        </w:tc>
        <w:tc>
          <w:tcPr>
            <w:tcW w:type="dxa" w:w="3120"/>
            <w:shd w:val="clear" w:color="auto" w:fill="FFFFFF"/>
          </w:tcPr>
          <w:p>
            <w:pPr>
              <w:spacing w:after="40"/>
            </w:pPr>
            <w:r>
              <w:rPr>
                <w:rFonts w:ascii="Calibri" w:hAnsi="Calibri"/>
                <w:sz w:val="19"/>
              </w:rPr>
              <w:t>E-FA1: Blindar la pasarela con rate limiting en Redis, tokens stateless JWT y reCAPTCHA para neutralizar intentos de fraude.</w:t>
            </w:r>
          </w:p>
        </w:tc>
        <w:tc>
          <w:tcPr>
            <w:tcW w:type="dxa" w:w="3120"/>
            <w:shd w:val="clear" w:color="auto" w:fill="FFFFFF"/>
          </w:tcPr>
          <w:p>
            <w:pPr>
              <w:spacing w:after="40"/>
            </w:pPr>
            <w:r>
              <w:rPr>
                <w:rFonts w:ascii="Calibri" w:hAnsi="Calibri"/>
                <w:sz w:val="19"/>
              </w:rPr>
              <w:t>Neutraliza ciberataques y transacciones fraudulentas sin elevar costos de infraestructura.</w:t>
            </w:r>
          </w:p>
        </w:tc>
      </w:tr>
      <w:tr>
        <w:tc>
          <w:tcPr>
            <w:tcW w:type="dxa" w:w="3120"/>
            <w:shd w:val="clear" w:color="auto" w:fill="EAEFF5"/>
          </w:tcPr>
          <w:p>
            <w:pPr>
              <w:spacing w:after="40"/>
            </w:pPr>
            <w:r>
              <w:rPr>
                <w:rFonts w:ascii="Calibri" w:hAnsi="Calibri"/>
                <w:b/>
                <w:sz w:val="19"/>
              </w:rPr>
              <w:t>Estrategias DA (Mini-Mini)</w:t>
            </w:r>
          </w:p>
        </w:tc>
        <w:tc>
          <w:tcPr>
            <w:tcW w:type="dxa" w:w="3120"/>
            <w:shd w:val="clear" w:color="auto" w:fill="F4F6F8"/>
          </w:tcPr>
          <w:p>
            <w:pPr>
              <w:spacing w:after="40"/>
            </w:pPr>
            <w:r>
              <w:rPr>
                <w:rFonts w:ascii="Calibri" w:hAnsi="Calibri"/>
                <w:sz w:val="19"/>
              </w:rPr>
              <w:t>E-DA1: Implementar caché transaccional en navegador (Pinia/LocalStorage) para permitir cobros en mostrador aun sin internet.</w:t>
            </w:r>
          </w:p>
        </w:tc>
        <w:tc>
          <w:tcPr>
            <w:tcW w:type="dxa" w:w="3120"/>
            <w:shd w:val="clear" w:color="auto" w:fill="F4F6F8"/>
          </w:tcPr>
          <w:p>
            <w:pPr>
              <w:spacing w:after="40"/>
            </w:pPr>
            <w:r>
              <w:rPr>
                <w:rFonts w:ascii="Calibri" w:hAnsi="Calibri"/>
                <w:sz w:val="19"/>
              </w:rPr>
              <w:t>Minimiza la vulnerabilidad ante interrupciones de conectividad rural/suburbana en barra.</w:t>
            </w:r>
          </w:p>
        </w:tc>
      </w:tr>
    </w:tbl>
    <w:p>
      <w:pPr>
        <w:spacing w:after="120"/>
      </w:pPr>
    </w:p>
    <w:p>
      <w:pPr>
        <w:keepNext/>
        <w:spacing w:before="360" w:after="160"/>
      </w:pPr>
      <w:r>
        <w:rPr>
          <w:rFonts w:ascii="Calibri" w:hAnsi="Calibri"/>
          <w:b/>
          <w:color w:val="1B365D"/>
          <w:sz w:val="32"/>
        </w:rPr>
        <w:t>4. Desarrollo del Plan Operativo y Metodología SCRUM</w:t>
      </w:r>
    </w:p>
    <w:p>
      <w:pPr>
        <w:keepNext/>
        <w:spacing w:before="280" w:after="120"/>
      </w:pPr>
      <w:r>
        <w:rPr>
          <w:rFonts w:ascii="Calibri" w:hAnsi="Calibri"/>
          <w:b/>
          <w:color w:val="008080"/>
          <w:sz w:val="26"/>
        </w:rPr>
        <w:t>4.1 Estructura Organizacional y Roles SCRUM</w:t>
      </w:r>
    </w:p>
    <w:p>
      <w:pPr>
        <w:spacing w:after="120" w:line="276" w:lineRule="auto"/>
      </w:pPr>
      <w:r>
        <w:rPr>
          <w:rFonts w:ascii="Calibri" w:hAnsi="Calibri"/>
          <w:i w:val="0"/>
          <w:color w:val="212529"/>
          <w:sz w:val="22"/>
        </w:rPr>
        <w:t>El desarrollo del software se ejecuta bajo el marco ágil SCRUM, estructurado para un ciclo de 16 semanas. Debido a la naturaleza del proyecto académico y la alta capacidad técnica del líder de proyecto (Ernesto Fierro), se adopta un esquema multifuncional donde los roles de gestión y ejecución técnica se alinean a las metas del proyecto:</w:t>
      </w:r>
    </w:p>
    <w:p>
      <w:pPr>
        <w:spacing w:after="120" w:line="276" w:lineRule="auto"/>
      </w:pPr>
      <w:r>
        <w:rPr>
          <w:rFonts w:ascii="Calibri" w:hAnsi="Calibri"/>
          <w:b/>
          <w:color w:val="212529"/>
          <w:sz w:val="22"/>
        </w:rPr>
        <w:t xml:space="preserve">• Product Owner (PO): </w:t>
      </w:r>
      <w:r>
        <w:rPr>
          <w:rFonts w:ascii="Calibri" w:hAnsi="Calibri"/>
          <w:i w:val="0"/>
          <w:color w:val="212529"/>
          <w:sz w:val="22"/>
        </w:rPr>
        <w:t>Responsable de definir las historias de usuario, priorizar el Product Backlog bajo la técnica MoSCoW y verificar que cada incremento aporte valor medible a los ODS y a la rentabilidad del negocio.</w:t>
      </w:r>
    </w:p>
    <w:p>
      <w:pPr>
        <w:spacing w:after="120" w:line="276" w:lineRule="auto"/>
      </w:pPr>
      <w:r>
        <w:rPr>
          <w:rFonts w:ascii="Calibri" w:hAnsi="Calibri"/>
          <w:b/>
          <w:color w:val="212529"/>
          <w:sz w:val="22"/>
        </w:rPr>
        <w:t xml:space="preserve">• Scrum Master: </w:t>
      </w:r>
      <w:r>
        <w:rPr>
          <w:rFonts w:ascii="Calibri" w:hAnsi="Calibri"/>
          <w:i w:val="0"/>
          <w:color w:val="212529"/>
          <w:sz w:val="22"/>
        </w:rPr>
        <w:t>Ernesto Fierro. Facilita las ceremonias ágiles, remueve bloqueos técnicos de infraestructura, gestiona el cronograma PERT y el presupuesto, asegurando un ritmo de trabajo constante y sostenible (ODS 8).</w:t>
      </w:r>
    </w:p>
    <w:p>
      <w:pPr>
        <w:spacing w:after="120" w:line="276" w:lineRule="auto"/>
      </w:pPr>
      <w:r>
        <w:rPr>
          <w:rFonts w:ascii="Calibri" w:hAnsi="Calibri"/>
          <w:b/>
          <w:color w:val="212529"/>
          <w:sz w:val="22"/>
        </w:rPr>
        <w:t xml:space="preserve">• Development Team (Líder Full-Stack / DevOps): </w:t>
      </w:r>
      <w:r>
        <w:rPr>
          <w:rFonts w:ascii="Calibri" w:hAnsi="Calibri"/>
          <w:i w:val="0"/>
          <w:color w:val="212529"/>
          <w:sz w:val="22"/>
        </w:rPr>
        <w:t>Diseño del monorepo en TypeScript, modelado relacional en Prisma, orquestación de colas en RabbitMQ con el Patrón Saga, desarrollo de componentes reactivos en Vue 3 y pruebas automatizadas.</w:t>
      </w:r>
    </w:p>
    <w:p>
      <w:pPr>
        <w:spacing w:after="120" w:line="276" w:lineRule="auto"/>
      </w:pPr>
      <w:r>
        <w:rPr>
          <w:rFonts w:ascii="Calibri" w:hAnsi="Calibri"/>
          <w:b/>
          <w:color w:val="212529"/>
          <w:sz w:val="22"/>
        </w:rPr>
        <w:t xml:space="preserve">• QA &amp; Security Champion: </w:t>
      </w:r>
      <w:r>
        <w:rPr>
          <w:rFonts w:ascii="Calibri" w:hAnsi="Calibri"/>
          <w:i w:val="0"/>
          <w:color w:val="212529"/>
          <w:sz w:val="22"/>
        </w:rPr>
        <w:t>Supervisión de cobertura de pruebas unitarias (&gt;85%), pruebas de regresión visual con Playwright en tres resoluciones, auditoría DAST/SAST contra el OWASP Top 10 y verificación de accesibilidad WCAG 2.1 AA.</w:t>
      </w:r>
    </w:p>
    <w:p>
      <w:pPr>
        <w:keepNext/>
        <w:spacing w:before="280" w:after="120"/>
      </w:pPr>
      <w:r>
        <w:rPr>
          <w:rFonts w:ascii="Calibri" w:hAnsi="Calibri"/>
          <w:b/>
          <w:color w:val="008080"/>
          <w:sz w:val="26"/>
        </w:rPr>
        <w:t>4.2 Ciclo de Sprints Quincenales (16 Semanas)</w:t>
      </w:r>
    </w:p>
    <w:p>
      <w:pPr>
        <w:spacing w:after="120" w:line="276" w:lineRule="auto"/>
      </w:pPr>
      <w:r>
        <w:rPr>
          <w:rFonts w:ascii="Calibri" w:hAnsi="Calibri"/>
          <w:i w:val="0"/>
          <w:color w:val="212529"/>
          <w:sz w:val="22"/>
        </w:rPr>
        <w:t>El proyecto se descompone en 8 Sprints de 2 semanas cada uno, asegurando entregables funcionales incrementales:</w:t>
      </w:r>
    </w:p>
    <w:p>
      <w:pPr>
        <w:spacing w:after="120" w:line="276" w:lineRule="auto"/>
      </w:pPr>
      <w:r>
        <w:rPr>
          <w:rFonts w:ascii="Calibri" w:hAnsi="Calibri"/>
          <w:b/>
          <w:color w:val="212529"/>
          <w:sz w:val="22"/>
        </w:rPr>
        <w:t xml:space="preserve">• Sprint 1 (Sem 1-2): Cimientos e Infraestructura Base: </w:t>
      </w:r>
      <w:r>
        <w:rPr>
          <w:rFonts w:ascii="Calibri" w:hAnsi="Calibri"/>
          <w:i w:val="0"/>
          <w:color w:val="212529"/>
          <w:sz w:val="22"/>
        </w:rPr>
        <w:t>Configuración de monorepo con Turborepo, esquema Prisma de entidades base y contenedorización con Docker Compose (PostgreSQL, RabbitMQ, Redis).</w:t>
      </w:r>
    </w:p>
    <w:p>
      <w:pPr>
        <w:spacing w:after="120" w:line="276" w:lineRule="auto"/>
      </w:pPr>
      <w:r>
        <w:rPr>
          <w:rFonts w:ascii="Calibri" w:hAnsi="Calibri"/>
          <w:b/>
          <w:color w:val="212529"/>
          <w:sz w:val="22"/>
        </w:rPr>
        <w:t xml:space="preserve">• Sprint 2 (Sem 3-4): Seguridad Stateless y Autenticación: </w:t>
      </w:r>
      <w:r>
        <w:rPr>
          <w:rFonts w:ascii="Calibri" w:hAnsi="Calibri"/>
          <w:i w:val="0"/>
          <w:color w:val="212529"/>
          <w:sz w:val="22"/>
        </w:rPr>
        <w:t>Endpoints Next.js API protegidos con JWT de 15 min en memoria, Refresh Tokens rotativos en cookies httpOnly seguras y Google reCAPTCHA v2/v3.</w:t>
      </w:r>
    </w:p>
    <w:p>
      <w:pPr>
        <w:spacing w:after="120" w:line="276" w:lineRule="auto"/>
      </w:pPr>
      <w:r>
        <w:rPr>
          <w:rFonts w:ascii="Calibri" w:hAnsi="Calibri"/>
          <w:b/>
          <w:color w:val="212529"/>
          <w:sz w:val="22"/>
        </w:rPr>
        <w:t xml:space="preserve">• Sprint 3 (Sem 5-6): Broker de Mensajería y Patrón Saga: </w:t>
      </w:r>
      <w:r>
        <w:rPr>
          <w:rFonts w:ascii="Calibri" w:hAnsi="Calibri"/>
          <w:i w:val="0"/>
          <w:color w:val="212529"/>
          <w:sz w:val="22"/>
        </w:rPr>
        <w:t>Configuración de Topic Exchange en RabbitMQ (`cafeteria.events`), colas de reintento, DLQ y orquestador de transacciones compensatorias automáticas.</w:t>
      </w:r>
    </w:p>
    <w:p>
      <w:pPr>
        <w:spacing w:after="120" w:line="276" w:lineRule="auto"/>
      </w:pPr>
      <w:r>
        <w:rPr>
          <w:rFonts w:ascii="Calibri" w:hAnsi="Calibri"/>
          <w:b/>
          <w:color w:val="212529"/>
          <w:sz w:val="22"/>
        </w:rPr>
        <w:t xml:space="preserve">• Sprint 4 (Sem 7-8): Frontend Core y Prerenderizado SEO: </w:t>
      </w:r>
      <w:r>
        <w:rPr>
          <w:rFonts w:ascii="Calibri" w:hAnsi="Calibri"/>
          <w:i w:val="0"/>
          <w:color w:val="212529"/>
          <w:sz w:val="22"/>
        </w:rPr>
        <w:t>Construcción de la interfaz Vue 3 con Pinia, sistema de diseño pastel cálido, generación estática vite-ssg y metadatos JSON-LD.</w:t>
      </w:r>
    </w:p>
    <w:p>
      <w:pPr>
        <w:spacing w:after="120" w:line="276" w:lineRule="auto"/>
      </w:pPr>
      <w:r>
        <w:rPr>
          <w:rFonts w:ascii="Calibri" w:hAnsi="Calibri"/>
          <w:b/>
          <w:color w:val="212529"/>
          <w:sz w:val="22"/>
        </w:rPr>
        <w:t xml:space="preserve">• Sprint 5 (Sem 9-10): Punto de Venta (POS) y Pagos Mixtos: </w:t>
      </w:r>
      <w:r>
        <w:rPr>
          <w:rFonts w:ascii="Calibri" w:hAnsi="Calibri"/>
          <w:i w:val="0"/>
          <w:color w:val="212529"/>
          <w:sz w:val="22"/>
        </w:rPr>
        <w:t>Pantalla táctil de mostrador optimizada para barra, escaneo de códigos de barra y soporte de cobro en efectivo, tarjeta, SPEI y puntos.</w:t>
      </w:r>
    </w:p>
    <w:p>
      <w:pPr>
        <w:spacing w:after="120" w:line="276" w:lineRule="auto"/>
      </w:pPr>
      <w:r>
        <w:rPr>
          <w:rFonts w:ascii="Calibri" w:hAnsi="Calibri"/>
          <w:b/>
          <w:color w:val="212529"/>
          <w:sz w:val="22"/>
        </w:rPr>
        <w:t xml:space="preserve">• Sprint 6 (Sem 11-12): Trazabilidad de Lotes y Monchis Rewards: </w:t>
      </w:r>
      <w:r>
        <w:rPr>
          <w:rFonts w:ascii="Calibri" w:hAnsi="Calibri"/>
          <w:i w:val="0"/>
          <w:color w:val="212529"/>
          <w:sz w:val="22"/>
        </w:rPr>
        <w:t>Módulo de café orgánico por finca, notas de cata y fecha de tueste, con motor de bonos por termo y sellos digitales de lealtad.</w:t>
      </w:r>
    </w:p>
    <w:p>
      <w:pPr>
        <w:spacing w:after="120" w:line="276" w:lineRule="auto"/>
      </w:pPr>
      <w:r>
        <w:rPr>
          <w:rFonts w:ascii="Calibri" w:hAnsi="Calibri"/>
          <w:b/>
          <w:color w:val="212529"/>
          <w:sz w:val="22"/>
        </w:rPr>
        <w:t xml:space="preserve">• Sprint 7 (Sem 13-14): Analítica UTM y Testing Multicapa: </w:t>
      </w:r>
      <w:r>
        <w:rPr>
          <w:rFonts w:ascii="Calibri" w:hAnsi="Calibri"/>
          <w:i w:val="0"/>
          <w:color w:val="212529"/>
          <w:sz w:val="22"/>
        </w:rPr>
        <w:t>Panel administrativo con desglose de ventas por canal UTM (Maps vs Instagram), auditoría DLQ y batería de tests en Playwright.</w:t>
      </w:r>
    </w:p>
    <w:p>
      <w:pPr>
        <w:spacing w:after="120" w:line="276" w:lineRule="auto"/>
      </w:pPr>
      <w:r>
        <w:rPr>
          <w:rFonts w:ascii="Calibri" w:hAnsi="Calibri"/>
          <w:b/>
          <w:color w:val="212529"/>
          <w:sz w:val="22"/>
        </w:rPr>
        <w:t xml:space="preserve">• Sprint 8 (Sem 15-16): Despliegue Cloud en GCP y Cierre: </w:t>
      </w:r>
      <w:r>
        <w:rPr>
          <w:rFonts w:ascii="Calibri" w:hAnsi="Calibri"/>
          <w:i w:val="0"/>
          <w:color w:val="212529"/>
          <w:sz w:val="22"/>
        </w:rPr>
        <w:t>Aprovisionamiento de infraestructura serverless con Terraform (Cloud Run, Cloud SQL), pruebas de penetración OWASP y puesta en producción.</w:t>
      </w:r>
    </w:p>
    <w:p>
      <w:pPr>
        <w:keepNext/>
        <w:spacing w:before="360" w:after="160"/>
      </w:pPr>
      <w:r>
        <w:rPr>
          <w:rFonts w:ascii="Calibri" w:hAnsi="Calibri"/>
          <w:b/>
          <w:color w:val="1B365D"/>
          <w:sz w:val="32"/>
        </w:rPr>
        <w:t>5. Programación Formal del Proyecto: Diagramas PERT, Gantt y Recursos</w:t>
      </w:r>
    </w:p>
    <w:p>
      <w:pPr>
        <w:keepNext/>
        <w:spacing w:before="280" w:after="120"/>
      </w:pPr>
      <w:r>
        <w:rPr>
          <w:rFonts w:ascii="Calibri" w:hAnsi="Calibri"/>
          <w:b/>
          <w:color w:val="008080"/>
          <w:sz w:val="26"/>
        </w:rPr>
        <w:t>5.1 Desglose de Actividades, Duraciones y Dependencias (CPM)</w:t>
      </w:r>
    </w:p>
    <w:p>
      <w:pPr>
        <w:spacing w:after="120" w:line="276" w:lineRule="auto"/>
      </w:pPr>
      <w:r>
        <w:rPr>
          <w:rFonts w:ascii="Calibri" w:hAnsi="Calibri"/>
          <w:i w:val="0"/>
          <w:color w:val="212529"/>
          <w:sz w:val="22"/>
        </w:rPr>
        <w:t>Para establecer la programación rigurosa del proyecto se aplicó el Método de la Ruta Crítica (CPM) sobre el grafo PERT. A continuación se presenta la tabla de actividades con sus duraciones esperadas y precedencias: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B365D"/>
          </w:tcPr>
          <w:p>
            <w:r>
              <w:rPr>
                <w:rFonts w:ascii="Calibri" w:hAnsi="Calibri"/>
                <w:b/>
                <w:color w:val="FFFFFF"/>
                <w:sz w:val="19"/>
              </w:rPr>
              <w:t>ID</w:t>
            </w:r>
          </w:p>
        </w:tc>
        <w:tc>
          <w:tcPr>
            <w:tcW w:type="dxa" w:w="1872"/>
            <w:shd w:val="clear" w:color="auto" w:fill="1B365D"/>
          </w:tcPr>
          <w:p>
            <w:r>
              <w:rPr>
                <w:rFonts w:ascii="Calibri" w:hAnsi="Calibri"/>
                <w:b/>
                <w:color w:val="FFFFFF"/>
                <w:sz w:val="19"/>
              </w:rPr>
              <w:t>Actividad del Proyecto</w:t>
            </w:r>
          </w:p>
        </w:tc>
        <w:tc>
          <w:tcPr>
            <w:tcW w:type="dxa" w:w="1872"/>
            <w:shd w:val="clear" w:color="auto" w:fill="1B365D"/>
          </w:tcPr>
          <w:p>
            <w:r>
              <w:rPr>
                <w:rFonts w:ascii="Calibri" w:hAnsi="Calibri"/>
                <w:b/>
                <w:color w:val="FFFFFF"/>
                <w:sz w:val="19"/>
              </w:rPr>
              <w:t>Duración (Sem)</w:t>
            </w:r>
          </w:p>
        </w:tc>
        <w:tc>
          <w:tcPr>
            <w:tcW w:type="dxa" w:w="1872"/>
            <w:shd w:val="clear" w:color="auto" w:fill="1B365D"/>
          </w:tcPr>
          <w:p>
            <w:r>
              <w:rPr>
                <w:rFonts w:ascii="Calibri" w:hAnsi="Calibri"/>
                <w:b/>
                <w:color w:val="FFFFFF"/>
                <w:sz w:val="19"/>
              </w:rPr>
              <w:t>Predecesoras</w:t>
            </w:r>
          </w:p>
        </w:tc>
        <w:tc>
          <w:tcPr>
            <w:tcW w:type="dxa" w:w="1872"/>
            <w:shd w:val="clear" w:color="auto" w:fill="1B365D"/>
          </w:tcPr>
          <w:p>
            <w:r>
              <w:rPr>
                <w:rFonts w:ascii="Calibri" w:hAnsi="Calibri"/>
                <w:b/>
                <w:color w:val="FFFFFF"/>
                <w:sz w:val="19"/>
              </w:rPr>
              <w:t>¿Ruta Crítica?</w:t>
            </w:r>
          </w:p>
        </w:tc>
      </w:tr>
      <w:tr>
        <w:tc>
          <w:tcPr>
            <w:tcW w:type="dxa" w:w="1872"/>
            <w:shd w:val="clear" w:color="auto" w:fill="FFFFFF"/>
          </w:tcPr>
          <w:p>
            <w:pPr>
              <w:spacing w:after="40"/>
            </w:pPr>
            <w:r>
              <w:rPr>
                <w:rFonts w:ascii="Calibri" w:hAnsi="Calibri"/>
                <w:sz w:val="18"/>
              </w:rPr>
              <w:t>A</w:t>
            </w:r>
          </w:p>
        </w:tc>
        <w:tc>
          <w:tcPr>
            <w:tcW w:type="dxa" w:w="1872"/>
            <w:shd w:val="clear" w:color="auto" w:fill="FFFFFF"/>
          </w:tcPr>
          <w:p>
            <w:pPr>
              <w:spacing w:after="40"/>
            </w:pPr>
            <w:r>
              <w:rPr>
                <w:rFonts w:ascii="Calibri" w:hAnsi="Calibri"/>
                <w:sz w:val="18"/>
              </w:rPr>
              <w:t>Definición de Requerimientos y ODS</w:t>
            </w:r>
          </w:p>
        </w:tc>
        <w:tc>
          <w:tcPr>
            <w:tcW w:type="dxa" w:w="1872"/>
            <w:shd w:val="clear" w:color="auto" w:fill="FFFFFF"/>
          </w:tcPr>
          <w:p>
            <w:pPr>
              <w:spacing w:after="40"/>
            </w:pPr>
            <w:r>
              <w:rPr>
                <w:rFonts w:ascii="Calibri" w:hAnsi="Calibri"/>
                <w:sz w:val="18"/>
              </w:rPr>
              <w:t>2</w:t>
            </w:r>
          </w:p>
        </w:tc>
        <w:tc>
          <w:tcPr>
            <w:tcW w:type="dxa" w:w="1872"/>
            <w:shd w:val="clear" w:color="auto" w:fill="FFFFFF"/>
          </w:tcPr>
          <w:p>
            <w:pPr>
              <w:spacing w:after="40"/>
            </w:pPr>
            <w:r>
              <w:rPr>
                <w:rFonts w:ascii="Calibri" w:hAnsi="Calibri"/>
                <w:sz w:val="18"/>
              </w:rPr>
              <w:t>Ninguna</w:t>
            </w:r>
          </w:p>
        </w:tc>
        <w:tc>
          <w:tcPr>
            <w:tcW w:type="dxa" w:w="1872"/>
            <w:shd w:val="clear" w:color="auto" w:fill="FDE8E8"/>
          </w:tcPr>
          <w:p>
            <w:pPr>
              <w:spacing w:after="40"/>
            </w:pPr>
            <w:r>
              <w:rPr>
                <w:rFonts w:ascii="Calibri" w:hAnsi="Calibri"/>
                <w:b/>
                <w:color w:val="B40000"/>
                <w:sz w:val="18"/>
              </w:rPr>
              <w:t>SÍ (Crítica)</w:t>
            </w:r>
          </w:p>
        </w:tc>
      </w:tr>
      <w:tr>
        <w:tc>
          <w:tcPr>
            <w:tcW w:type="dxa" w:w="1872"/>
            <w:shd w:val="clear" w:color="auto" w:fill="F4F6F8"/>
          </w:tcPr>
          <w:p>
            <w:pPr>
              <w:spacing w:after="40"/>
            </w:pPr>
            <w:r>
              <w:rPr>
                <w:rFonts w:ascii="Calibri" w:hAnsi="Calibri"/>
                <w:sz w:val="18"/>
              </w:rPr>
              <w:t>B</w:t>
            </w:r>
          </w:p>
        </w:tc>
        <w:tc>
          <w:tcPr>
            <w:tcW w:type="dxa" w:w="1872"/>
            <w:shd w:val="clear" w:color="auto" w:fill="F4F6F8"/>
          </w:tcPr>
          <w:p>
            <w:pPr>
              <w:spacing w:after="40"/>
            </w:pPr>
            <w:r>
              <w:rPr>
                <w:rFonts w:ascii="Calibri" w:hAnsi="Calibri"/>
                <w:sz w:val="18"/>
              </w:rPr>
              <w:t>Arquitectura Monorepo y Esquema de BD</w:t>
            </w:r>
          </w:p>
        </w:tc>
        <w:tc>
          <w:tcPr>
            <w:tcW w:type="dxa" w:w="1872"/>
            <w:shd w:val="clear" w:color="auto" w:fill="F4F6F8"/>
          </w:tcPr>
          <w:p>
            <w:pPr>
              <w:spacing w:after="40"/>
            </w:pPr>
            <w:r>
              <w:rPr>
                <w:rFonts w:ascii="Calibri" w:hAnsi="Calibri"/>
                <w:sz w:val="18"/>
              </w:rPr>
              <w:t>2</w:t>
            </w:r>
          </w:p>
        </w:tc>
        <w:tc>
          <w:tcPr>
            <w:tcW w:type="dxa" w:w="1872"/>
            <w:shd w:val="clear" w:color="auto" w:fill="F4F6F8"/>
          </w:tcPr>
          <w:p>
            <w:pPr>
              <w:spacing w:after="40"/>
            </w:pPr>
            <w:r>
              <w:rPr>
                <w:rFonts w:ascii="Calibri" w:hAnsi="Calibri"/>
                <w:sz w:val="18"/>
              </w:rPr>
              <w:t>A</w:t>
            </w:r>
          </w:p>
        </w:tc>
        <w:tc>
          <w:tcPr>
            <w:tcW w:type="dxa" w:w="1872"/>
            <w:shd w:val="clear" w:color="auto" w:fill="FDE8E8"/>
          </w:tcPr>
          <w:p>
            <w:pPr>
              <w:spacing w:after="40"/>
            </w:pPr>
            <w:r>
              <w:rPr>
                <w:rFonts w:ascii="Calibri" w:hAnsi="Calibri"/>
                <w:b/>
                <w:color w:val="B40000"/>
                <w:sz w:val="18"/>
              </w:rPr>
              <w:t>SÍ (Crítica)</w:t>
            </w:r>
          </w:p>
        </w:tc>
      </w:tr>
      <w:tr>
        <w:tc>
          <w:tcPr>
            <w:tcW w:type="dxa" w:w="1872"/>
            <w:shd w:val="clear" w:color="auto" w:fill="FFFFFF"/>
          </w:tcPr>
          <w:p>
            <w:pPr>
              <w:spacing w:after="40"/>
            </w:pPr>
            <w:r>
              <w:rPr>
                <w:rFonts w:ascii="Calibri" w:hAnsi="Calibri"/>
                <w:sz w:val="18"/>
              </w:rPr>
              <w:t>C</w:t>
            </w:r>
          </w:p>
        </w:tc>
        <w:tc>
          <w:tcPr>
            <w:tcW w:type="dxa" w:w="1872"/>
            <w:shd w:val="clear" w:color="auto" w:fill="FFFFFF"/>
          </w:tcPr>
          <w:p>
            <w:pPr>
              <w:spacing w:after="40"/>
            </w:pPr>
            <w:r>
              <w:rPr>
                <w:rFonts w:ascii="Calibri" w:hAnsi="Calibri"/>
                <w:sz w:val="18"/>
              </w:rPr>
              <w:t>Backend Core y Autenticación Stateless</w:t>
            </w:r>
          </w:p>
        </w:tc>
        <w:tc>
          <w:tcPr>
            <w:tcW w:type="dxa" w:w="1872"/>
            <w:shd w:val="clear" w:color="auto" w:fill="FFFFFF"/>
          </w:tcPr>
          <w:p>
            <w:pPr>
              <w:spacing w:after="40"/>
            </w:pPr>
            <w:r>
              <w:rPr>
                <w:rFonts w:ascii="Calibri" w:hAnsi="Calibri"/>
                <w:sz w:val="18"/>
              </w:rPr>
              <w:t>2</w:t>
            </w:r>
          </w:p>
        </w:tc>
        <w:tc>
          <w:tcPr>
            <w:tcW w:type="dxa" w:w="1872"/>
            <w:shd w:val="clear" w:color="auto" w:fill="FFFFFF"/>
          </w:tcPr>
          <w:p>
            <w:pPr>
              <w:spacing w:after="40"/>
            </w:pPr>
            <w:r>
              <w:rPr>
                <w:rFonts w:ascii="Calibri" w:hAnsi="Calibri"/>
                <w:sz w:val="18"/>
              </w:rPr>
              <w:t>B</w:t>
            </w:r>
          </w:p>
        </w:tc>
        <w:tc>
          <w:tcPr>
            <w:tcW w:type="dxa" w:w="1872"/>
            <w:shd w:val="clear" w:color="auto" w:fill="FDE8E8"/>
          </w:tcPr>
          <w:p>
            <w:pPr>
              <w:spacing w:after="40"/>
            </w:pPr>
            <w:r>
              <w:rPr>
                <w:rFonts w:ascii="Calibri" w:hAnsi="Calibri"/>
                <w:b/>
                <w:color w:val="B40000"/>
                <w:sz w:val="18"/>
              </w:rPr>
              <w:t>SÍ (Crítica)</w:t>
            </w:r>
          </w:p>
        </w:tc>
      </w:tr>
      <w:tr>
        <w:tc>
          <w:tcPr>
            <w:tcW w:type="dxa" w:w="1872"/>
            <w:shd w:val="clear" w:color="auto" w:fill="F4F6F8"/>
          </w:tcPr>
          <w:p>
            <w:pPr>
              <w:spacing w:after="40"/>
            </w:pPr>
            <w:r>
              <w:rPr>
                <w:rFonts w:ascii="Calibri" w:hAnsi="Calibri"/>
                <w:sz w:val="18"/>
              </w:rPr>
              <w:t>D</w:t>
            </w:r>
          </w:p>
        </w:tc>
        <w:tc>
          <w:tcPr>
            <w:tcW w:type="dxa" w:w="1872"/>
            <w:shd w:val="clear" w:color="auto" w:fill="F4F6F8"/>
          </w:tcPr>
          <w:p>
            <w:pPr>
              <w:spacing w:after="40"/>
            </w:pPr>
            <w:r>
              <w:rPr>
                <w:rFonts w:ascii="Calibri" w:hAnsi="Calibri"/>
                <w:sz w:val="18"/>
              </w:rPr>
              <w:t>Broker RabbitMQ y Orquestación Saga</w:t>
            </w:r>
          </w:p>
        </w:tc>
        <w:tc>
          <w:tcPr>
            <w:tcW w:type="dxa" w:w="1872"/>
            <w:shd w:val="clear" w:color="auto" w:fill="F4F6F8"/>
          </w:tcPr>
          <w:p>
            <w:pPr>
              <w:spacing w:after="40"/>
            </w:pPr>
            <w:r>
              <w:rPr>
                <w:rFonts w:ascii="Calibri" w:hAnsi="Calibri"/>
                <w:sz w:val="18"/>
              </w:rPr>
              <w:t>2</w:t>
            </w:r>
          </w:p>
        </w:tc>
        <w:tc>
          <w:tcPr>
            <w:tcW w:type="dxa" w:w="1872"/>
            <w:shd w:val="clear" w:color="auto" w:fill="F4F6F8"/>
          </w:tcPr>
          <w:p>
            <w:pPr>
              <w:spacing w:after="40"/>
            </w:pPr>
            <w:r>
              <w:rPr>
                <w:rFonts w:ascii="Calibri" w:hAnsi="Calibri"/>
                <w:sz w:val="18"/>
              </w:rPr>
              <w:t>C</w:t>
            </w:r>
          </w:p>
        </w:tc>
        <w:tc>
          <w:tcPr>
            <w:tcW w:type="dxa" w:w="1872"/>
            <w:shd w:val="clear" w:color="auto" w:fill="FDE8E8"/>
          </w:tcPr>
          <w:p>
            <w:pPr>
              <w:spacing w:after="40"/>
            </w:pPr>
            <w:r>
              <w:rPr>
                <w:rFonts w:ascii="Calibri" w:hAnsi="Calibri"/>
                <w:b/>
                <w:color w:val="B40000"/>
                <w:sz w:val="18"/>
              </w:rPr>
              <w:t>SÍ (Crítica)</w:t>
            </w:r>
          </w:p>
        </w:tc>
      </w:tr>
      <w:tr>
        <w:tc>
          <w:tcPr>
            <w:tcW w:type="dxa" w:w="1872"/>
            <w:shd w:val="clear" w:color="auto" w:fill="FFFFFF"/>
          </w:tcPr>
          <w:p>
            <w:pPr>
              <w:spacing w:after="40"/>
            </w:pPr>
            <w:r>
              <w:rPr>
                <w:rFonts w:ascii="Calibri" w:hAnsi="Calibri"/>
                <w:sz w:val="18"/>
              </w:rPr>
              <w:t>E</w:t>
            </w:r>
          </w:p>
        </w:tc>
        <w:tc>
          <w:tcPr>
            <w:tcW w:type="dxa" w:w="1872"/>
            <w:shd w:val="clear" w:color="auto" w:fill="FFFFFF"/>
          </w:tcPr>
          <w:p>
            <w:pPr>
              <w:spacing w:after="40"/>
            </w:pPr>
            <w:r>
              <w:rPr>
                <w:rFonts w:ascii="Calibri" w:hAnsi="Calibri"/>
                <w:sz w:val="18"/>
              </w:rPr>
              <w:t>Frontend Core y Prerenderizado SEO</w:t>
            </w:r>
          </w:p>
        </w:tc>
        <w:tc>
          <w:tcPr>
            <w:tcW w:type="dxa" w:w="1872"/>
            <w:shd w:val="clear" w:color="auto" w:fill="FFFFFF"/>
          </w:tcPr>
          <w:p>
            <w:pPr>
              <w:spacing w:after="40"/>
            </w:pPr>
            <w:r>
              <w:rPr>
                <w:rFonts w:ascii="Calibri" w:hAnsi="Calibri"/>
                <w:sz w:val="18"/>
              </w:rPr>
              <w:t>2</w:t>
            </w:r>
          </w:p>
        </w:tc>
        <w:tc>
          <w:tcPr>
            <w:tcW w:type="dxa" w:w="1872"/>
            <w:shd w:val="clear" w:color="auto" w:fill="FFFFFF"/>
          </w:tcPr>
          <w:p>
            <w:pPr>
              <w:spacing w:after="40"/>
            </w:pPr>
            <w:r>
              <w:rPr>
                <w:rFonts w:ascii="Calibri" w:hAnsi="Calibri"/>
                <w:sz w:val="18"/>
              </w:rPr>
              <w:t>B</w:t>
            </w:r>
          </w:p>
        </w:tc>
        <w:tc>
          <w:tcPr>
            <w:tcW w:type="dxa" w:w="1872"/>
            <w:shd w:val="clear" w:color="auto" w:fill="FFFFFF"/>
          </w:tcPr>
          <w:p>
            <w:pPr>
              <w:spacing w:after="40"/>
            </w:pPr>
            <w:r>
              <w:rPr>
                <w:rFonts w:ascii="Calibri" w:hAnsi="Calibri"/>
                <w:sz w:val="18"/>
              </w:rPr>
              <w:t>No (Holgura: 2 sem)</w:t>
            </w:r>
          </w:p>
        </w:tc>
      </w:tr>
      <w:tr>
        <w:tc>
          <w:tcPr>
            <w:tcW w:type="dxa" w:w="1872"/>
            <w:shd w:val="clear" w:color="auto" w:fill="F4F6F8"/>
          </w:tcPr>
          <w:p>
            <w:pPr>
              <w:spacing w:after="40"/>
            </w:pPr>
            <w:r>
              <w:rPr>
                <w:rFonts w:ascii="Calibri" w:hAnsi="Calibri"/>
                <w:sz w:val="18"/>
              </w:rPr>
              <w:t>F</w:t>
            </w:r>
          </w:p>
        </w:tc>
        <w:tc>
          <w:tcPr>
            <w:tcW w:type="dxa" w:w="1872"/>
            <w:shd w:val="clear" w:color="auto" w:fill="F4F6F8"/>
          </w:tcPr>
          <w:p>
            <w:pPr>
              <w:spacing w:after="40"/>
            </w:pPr>
            <w:r>
              <w:rPr>
                <w:rFonts w:ascii="Calibri" w:hAnsi="Calibri"/>
                <w:sz w:val="18"/>
              </w:rPr>
              <w:t>Módulo POS Táctil y Pagos Mixtos</w:t>
            </w:r>
          </w:p>
        </w:tc>
        <w:tc>
          <w:tcPr>
            <w:tcW w:type="dxa" w:w="1872"/>
            <w:shd w:val="clear" w:color="auto" w:fill="F4F6F8"/>
          </w:tcPr>
          <w:p>
            <w:pPr>
              <w:spacing w:after="40"/>
            </w:pPr>
            <w:r>
              <w:rPr>
                <w:rFonts w:ascii="Calibri" w:hAnsi="Calibri"/>
                <w:sz w:val="18"/>
              </w:rPr>
              <w:t>3</w:t>
            </w:r>
          </w:p>
        </w:tc>
        <w:tc>
          <w:tcPr>
            <w:tcW w:type="dxa" w:w="1872"/>
            <w:shd w:val="clear" w:color="auto" w:fill="F4F6F8"/>
          </w:tcPr>
          <w:p>
            <w:pPr>
              <w:spacing w:after="40"/>
            </w:pPr>
            <w:r>
              <w:rPr>
                <w:rFonts w:ascii="Calibri" w:hAnsi="Calibri"/>
                <w:sz w:val="18"/>
              </w:rPr>
              <w:t>D, E</w:t>
            </w:r>
          </w:p>
        </w:tc>
        <w:tc>
          <w:tcPr>
            <w:tcW w:type="dxa" w:w="1872"/>
            <w:shd w:val="clear" w:color="auto" w:fill="FDE8E8"/>
          </w:tcPr>
          <w:p>
            <w:pPr>
              <w:spacing w:after="40"/>
            </w:pPr>
            <w:r>
              <w:rPr>
                <w:rFonts w:ascii="Calibri" w:hAnsi="Calibri"/>
                <w:b/>
                <w:color w:val="B40000"/>
                <w:sz w:val="18"/>
              </w:rPr>
              <w:t>SÍ (Crítica)</w:t>
            </w:r>
          </w:p>
        </w:tc>
      </w:tr>
      <w:tr>
        <w:tc>
          <w:tcPr>
            <w:tcW w:type="dxa" w:w="1872"/>
            <w:shd w:val="clear" w:color="auto" w:fill="FFFFFF"/>
          </w:tcPr>
          <w:p>
            <w:pPr>
              <w:spacing w:after="40"/>
            </w:pPr>
            <w:r>
              <w:rPr>
                <w:rFonts w:ascii="Calibri" w:hAnsi="Calibri"/>
                <w:sz w:val="18"/>
              </w:rPr>
              <w:t>G</w:t>
            </w:r>
          </w:p>
        </w:tc>
        <w:tc>
          <w:tcPr>
            <w:tcW w:type="dxa" w:w="1872"/>
            <w:shd w:val="clear" w:color="auto" w:fill="FFFFFF"/>
          </w:tcPr>
          <w:p>
            <w:pPr>
              <w:spacing w:after="40"/>
            </w:pPr>
            <w:r>
              <w:rPr>
                <w:rFonts w:ascii="Calibri" w:hAnsi="Calibri"/>
                <w:sz w:val="18"/>
              </w:rPr>
              <w:t>Trazabilidad de Lotes y Fidelización Eco</w:t>
            </w:r>
          </w:p>
        </w:tc>
        <w:tc>
          <w:tcPr>
            <w:tcW w:type="dxa" w:w="1872"/>
            <w:shd w:val="clear" w:color="auto" w:fill="FFFFFF"/>
          </w:tcPr>
          <w:p>
            <w:pPr>
              <w:spacing w:after="40"/>
            </w:pPr>
            <w:r>
              <w:rPr>
                <w:rFonts w:ascii="Calibri" w:hAnsi="Calibri"/>
                <w:sz w:val="18"/>
              </w:rPr>
              <w:t>2</w:t>
            </w:r>
          </w:p>
        </w:tc>
        <w:tc>
          <w:tcPr>
            <w:tcW w:type="dxa" w:w="1872"/>
            <w:shd w:val="clear" w:color="auto" w:fill="FFFFFF"/>
          </w:tcPr>
          <w:p>
            <w:pPr>
              <w:spacing w:after="40"/>
            </w:pPr>
            <w:r>
              <w:rPr>
                <w:rFonts w:ascii="Calibri" w:hAnsi="Calibri"/>
                <w:sz w:val="18"/>
              </w:rPr>
              <w:t>F</w:t>
            </w:r>
          </w:p>
        </w:tc>
        <w:tc>
          <w:tcPr>
            <w:tcW w:type="dxa" w:w="1872"/>
            <w:shd w:val="clear" w:color="auto" w:fill="FDE8E8"/>
          </w:tcPr>
          <w:p>
            <w:pPr>
              <w:spacing w:after="40"/>
            </w:pPr>
            <w:r>
              <w:rPr>
                <w:rFonts w:ascii="Calibri" w:hAnsi="Calibri"/>
                <w:b/>
                <w:color w:val="B40000"/>
                <w:sz w:val="18"/>
              </w:rPr>
              <w:t>SÍ (Crítica)</w:t>
            </w:r>
          </w:p>
        </w:tc>
      </w:tr>
      <w:tr>
        <w:tc>
          <w:tcPr>
            <w:tcW w:type="dxa" w:w="1872"/>
            <w:shd w:val="clear" w:color="auto" w:fill="F4F6F8"/>
          </w:tcPr>
          <w:p>
            <w:pPr>
              <w:spacing w:after="40"/>
            </w:pPr>
            <w:r>
              <w:rPr>
                <w:rFonts w:ascii="Calibri" w:hAnsi="Calibri"/>
                <w:sz w:val="18"/>
              </w:rPr>
              <w:t>H</w:t>
            </w:r>
          </w:p>
        </w:tc>
        <w:tc>
          <w:tcPr>
            <w:tcW w:type="dxa" w:w="1872"/>
            <w:shd w:val="clear" w:color="auto" w:fill="F4F6F8"/>
          </w:tcPr>
          <w:p>
            <w:pPr>
              <w:spacing w:after="40"/>
            </w:pPr>
            <w:r>
              <w:rPr>
                <w:rFonts w:ascii="Calibri" w:hAnsi="Calibri"/>
                <w:sz w:val="18"/>
              </w:rPr>
              <w:t>Dashboard Administrativo y Analítica UTM</w:t>
            </w:r>
          </w:p>
        </w:tc>
        <w:tc>
          <w:tcPr>
            <w:tcW w:type="dxa" w:w="1872"/>
            <w:shd w:val="clear" w:color="auto" w:fill="F4F6F8"/>
          </w:tcPr>
          <w:p>
            <w:pPr>
              <w:spacing w:after="40"/>
            </w:pPr>
            <w:r>
              <w:rPr>
                <w:rFonts w:ascii="Calibri" w:hAnsi="Calibri"/>
                <w:sz w:val="18"/>
              </w:rPr>
              <w:t>2</w:t>
            </w:r>
          </w:p>
        </w:tc>
        <w:tc>
          <w:tcPr>
            <w:tcW w:type="dxa" w:w="1872"/>
            <w:shd w:val="clear" w:color="auto" w:fill="F4F6F8"/>
          </w:tcPr>
          <w:p>
            <w:pPr>
              <w:spacing w:after="40"/>
            </w:pPr>
            <w:r>
              <w:rPr>
                <w:rFonts w:ascii="Calibri" w:hAnsi="Calibri"/>
                <w:sz w:val="18"/>
              </w:rPr>
              <w:t>F</w:t>
            </w:r>
          </w:p>
        </w:tc>
        <w:tc>
          <w:tcPr>
            <w:tcW w:type="dxa" w:w="1872"/>
            <w:shd w:val="clear" w:color="auto" w:fill="F4F6F8"/>
          </w:tcPr>
          <w:p>
            <w:pPr>
              <w:spacing w:after="40"/>
            </w:pPr>
            <w:r>
              <w:rPr>
                <w:rFonts w:ascii="Calibri" w:hAnsi="Calibri"/>
                <w:sz w:val="18"/>
              </w:rPr>
              <w:t>No (Holgura: 1 sem)</w:t>
            </w:r>
          </w:p>
        </w:tc>
      </w:tr>
      <w:tr>
        <w:tc>
          <w:tcPr>
            <w:tcW w:type="dxa" w:w="1872"/>
            <w:shd w:val="clear" w:color="auto" w:fill="FFFFFF"/>
          </w:tcPr>
          <w:p>
            <w:pPr>
              <w:spacing w:after="40"/>
            </w:pPr>
            <w:r>
              <w:rPr>
                <w:rFonts w:ascii="Calibri" w:hAnsi="Calibri"/>
                <w:sz w:val="18"/>
              </w:rPr>
              <w:t>I</w:t>
            </w:r>
          </w:p>
        </w:tc>
        <w:tc>
          <w:tcPr>
            <w:tcW w:type="dxa" w:w="1872"/>
            <w:shd w:val="clear" w:color="auto" w:fill="FFFFFF"/>
          </w:tcPr>
          <w:p>
            <w:pPr>
              <w:spacing w:after="40"/>
            </w:pPr>
            <w:r>
              <w:rPr>
                <w:rFonts w:ascii="Calibri" w:hAnsi="Calibri"/>
                <w:sz w:val="18"/>
              </w:rPr>
              <w:t>Testing Multicapa y Auditoría de Seguridad</w:t>
            </w:r>
          </w:p>
        </w:tc>
        <w:tc>
          <w:tcPr>
            <w:tcW w:type="dxa" w:w="1872"/>
            <w:shd w:val="clear" w:color="auto" w:fill="FFFFFF"/>
          </w:tcPr>
          <w:p>
            <w:pPr>
              <w:spacing w:after="40"/>
            </w:pPr>
            <w:r>
              <w:rPr>
                <w:rFonts w:ascii="Calibri" w:hAnsi="Calibri"/>
                <w:sz w:val="18"/>
              </w:rPr>
              <w:t>2</w:t>
            </w:r>
          </w:p>
        </w:tc>
        <w:tc>
          <w:tcPr>
            <w:tcW w:type="dxa" w:w="1872"/>
            <w:shd w:val="clear" w:color="auto" w:fill="FFFFFF"/>
          </w:tcPr>
          <w:p>
            <w:pPr>
              <w:spacing w:after="40"/>
            </w:pPr>
            <w:r>
              <w:rPr>
                <w:rFonts w:ascii="Calibri" w:hAnsi="Calibri"/>
                <w:sz w:val="18"/>
              </w:rPr>
              <w:t>G, H</w:t>
            </w:r>
          </w:p>
        </w:tc>
        <w:tc>
          <w:tcPr>
            <w:tcW w:type="dxa" w:w="1872"/>
            <w:shd w:val="clear" w:color="auto" w:fill="FDE8E8"/>
          </w:tcPr>
          <w:p>
            <w:pPr>
              <w:spacing w:after="40"/>
            </w:pPr>
            <w:r>
              <w:rPr>
                <w:rFonts w:ascii="Calibri" w:hAnsi="Calibri"/>
                <w:b/>
                <w:color w:val="B40000"/>
                <w:sz w:val="18"/>
              </w:rPr>
              <w:t>SÍ (Crítica)</w:t>
            </w:r>
          </w:p>
        </w:tc>
      </w:tr>
      <w:tr>
        <w:tc>
          <w:tcPr>
            <w:tcW w:type="dxa" w:w="1872"/>
            <w:shd w:val="clear" w:color="auto" w:fill="F4F6F8"/>
          </w:tcPr>
          <w:p>
            <w:pPr>
              <w:spacing w:after="40"/>
            </w:pPr>
            <w:r>
              <w:rPr>
                <w:rFonts w:ascii="Calibri" w:hAnsi="Calibri"/>
                <w:sz w:val="18"/>
              </w:rPr>
              <w:t>J</w:t>
            </w:r>
          </w:p>
        </w:tc>
        <w:tc>
          <w:tcPr>
            <w:tcW w:type="dxa" w:w="1872"/>
            <w:shd w:val="clear" w:color="auto" w:fill="F4F6F8"/>
          </w:tcPr>
          <w:p>
            <w:pPr>
              <w:spacing w:after="40"/>
            </w:pPr>
            <w:r>
              <w:rPr>
                <w:rFonts w:ascii="Calibri" w:hAnsi="Calibri"/>
                <w:sz w:val="18"/>
              </w:rPr>
              <w:t>Despliegue Cloud GCP y Cierre Operativo</w:t>
            </w:r>
          </w:p>
        </w:tc>
        <w:tc>
          <w:tcPr>
            <w:tcW w:type="dxa" w:w="1872"/>
            <w:shd w:val="clear" w:color="auto" w:fill="F4F6F8"/>
          </w:tcPr>
          <w:p>
            <w:pPr>
              <w:spacing w:after="40"/>
            </w:pPr>
            <w:r>
              <w:rPr>
                <w:rFonts w:ascii="Calibri" w:hAnsi="Calibri"/>
                <w:sz w:val="18"/>
              </w:rPr>
              <w:t>2</w:t>
            </w:r>
          </w:p>
        </w:tc>
        <w:tc>
          <w:tcPr>
            <w:tcW w:type="dxa" w:w="1872"/>
            <w:shd w:val="clear" w:color="auto" w:fill="F4F6F8"/>
          </w:tcPr>
          <w:p>
            <w:pPr>
              <w:spacing w:after="40"/>
            </w:pPr>
            <w:r>
              <w:rPr>
                <w:rFonts w:ascii="Calibri" w:hAnsi="Calibri"/>
                <w:sz w:val="18"/>
              </w:rPr>
              <w:t>I</w:t>
            </w:r>
          </w:p>
        </w:tc>
        <w:tc>
          <w:tcPr>
            <w:tcW w:type="dxa" w:w="1872"/>
            <w:shd w:val="clear" w:color="auto" w:fill="FDE8E8"/>
          </w:tcPr>
          <w:p>
            <w:pPr>
              <w:spacing w:after="40"/>
            </w:pPr>
            <w:r>
              <w:rPr>
                <w:rFonts w:ascii="Calibri" w:hAnsi="Calibri"/>
                <w:b/>
                <w:color w:val="B40000"/>
                <w:sz w:val="18"/>
              </w:rPr>
              <w:t>SÍ (Crítica)</w:t>
            </w:r>
          </w:p>
        </w:tc>
      </w:tr>
    </w:tbl>
    <w:p>
      <w:pPr>
        <w:keepNext/>
        <w:spacing w:before="280" w:after="120"/>
      </w:pPr>
      <w:r>
        <w:rPr>
          <w:rFonts w:ascii="Calibri" w:hAnsi="Calibri"/>
          <w:b/>
          <w:color w:val="008080"/>
          <w:sz w:val="26"/>
        </w:rPr>
        <w:t>5.2 Identificación de la Ruta Crítica</w:t>
      </w:r>
    </w:p>
    <w:p>
      <w:pPr>
        <w:spacing w:after="120" w:line="276" w:lineRule="auto"/>
      </w:pPr>
      <w:r>
        <w:rPr>
          <w:rFonts w:ascii="Calibri" w:hAnsi="Calibri"/>
          <w:i w:val="0"/>
          <w:color w:val="212529"/>
          <w:sz w:val="22"/>
        </w:rPr>
        <w:t>Al resolver la red de actividades considerando tiempos tempranos (Early Start / Early Finish) y tiempos tardíos (Late Start / Late Finish), se determina que la Ruta Crítica está conformada por las actividades A → B → C → D → F → G → I → J, con una duración total de exactamente 16 semanas. Las actividades E y H cuentan con holguras totales de 2 semanas y 1 semana respectivamente, permitiendo absorber variaciones menores sin postergar la fecha de entrega del proyecto.</w:t>
      </w:r>
    </w:p>
    <w:p>
      <w:pPr>
        <w:keepNext/>
        <w:spacing w:before="280" w:after="120"/>
      </w:pPr>
      <w:r>
        <w:rPr>
          <w:rFonts w:ascii="Calibri" w:hAnsi="Calibri"/>
          <w:b/>
          <w:color w:val="008080"/>
          <w:sz w:val="26"/>
        </w:rPr>
        <w:t>5.3 Histograma de Recursos Humanos (Distribución de Horas)</w:t>
      </w:r>
    </w:p>
    <w:p>
      <w:pPr>
        <w:spacing w:after="120" w:line="276" w:lineRule="auto"/>
      </w:pPr>
      <w:r>
        <w:rPr>
          <w:rFonts w:ascii="Calibri" w:hAnsi="Calibri"/>
          <w:i w:val="0"/>
          <w:color w:val="212529"/>
          <w:sz w:val="22"/>
        </w:rPr>
        <w:t>El proyecto contempla un total de 2,720 horas de trabajo profesional distribuidas a lo largo de las 16 semanas. La dedicación se equilibra para evitar sobrecargas, manteniendo un ritmo constante de 40 horas semanales para el núcleo de desarrollo y concentrando el esfuerzo de aseguramiento de calidad (QA) y auditoría de seguridad en la segunda mitad del ciclo.</w:t>
      </w:r>
    </w:p>
    <w:p>
      <w:pPr>
        <w:keepNext/>
        <w:spacing w:before="360" w:after="160"/>
      </w:pPr>
      <w:r>
        <w:rPr>
          <w:rFonts w:ascii="Calibri" w:hAnsi="Calibri"/>
          <w:b/>
          <w:color w:val="1B365D"/>
          <w:sz w:val="32"/>
        </w:rPr>
        <w:t>6. Estimación del Software Mediante el Modelo COCOMO</w:t>
      </w:r>
    </w:p>
    <w:p>
      <w:pPr>
        <w:spacing w:after="120" w:line="276" w:lineRule="auto"/>
      </w:pPr>
      <w:r>
        <w:rPr>
          <w:rFonts w:ascii="Calibri" w:hAnsi="Calibri"/>
          <w:i w:val="0"/>
          <w:color w:val="212529"/>
          <w:sz w:val="22"/>
        </w:rPr>
        <w:t>Para fundamentar matemáticamente los tiempos y costos de desarrollo se aplica el Modelo Constructivo de Costos (COCOMO 81) desarrollado por Barry Boehm, en sus variantes Básica e Intermedia.</w:t>
      </w:r>
    </w:p>
    <w:p>
      <w:pPr>
        <w:keepNext/>
        <w:spacing w:before="280" w:after="120"/>
      </w:pPr>
      <w:r>
        <w:rPr>
          <w:rFonts w:ascii="Calibri" w:hAnsi="Calibri"/>
          <w:b/>
          <w:color w:val="008080"/>
          <w:sz w:val="26"/>
        </w:rPr>
        <w:t>6.1 Dimensionamiento del Proyecto y Parámetros</w:t>
      </w:r>
    </w:p>
    <w:p>
      <w:pPr>
        <w:spacing w:after="120" w:line="276" w:lineRule="auto"/>
      </w:pPr>
      <w:r>
        <w:rPr>
          <w:rFonts w:ascii="Calibri" w:hAnsi="Calibri"/>
          <w:i w:val="0"/>
          <w:color w:val="212529"/>
          <w:sz w:val="22"/>
        </w:rPr>
        <w:t>El tamaño del software se estima a partir del alcance funcional del monorepo en TypeScript (Frontend Vue 3, API Next.js, esquemas Prisma, orquestador Saga RabbitMQ y componentes de diseño), proyectando un total de 22,500 líneas de código fuente (22.5 KLOC). Debido a la naturaleza del sistema (plataforma transaccional con arquitectura distribuida, requisitos de consistencia y protocolos de seguridad, pero desarrollada con tecnologías conocidas y maduras), el proyecto se clasifica formalmente en Modo Semiacoplado (Semidetached).</w:t>
      </w:r>
    </w:p>
    <w:p>
      <w:pPr>
        <w:spacing w:after="120" w:line="276" w:lineRule="auto"/>
      </w:pPr>
      <w:r>
        <w:rPr>
          <w:rFonts w:ascii="Calibri" w:hAnsi="Calibri"/>
          <w:b/>
          <w:color w:val="212529"/>
          <w:sz w:val="22"/>
        </w:rPr>
        <w:t xml:space="preserve">• Coeficientes COCOMO Semiacoplado: </w:t>
      </w:r>
      <w:r>
        <w:rPr>
          <w:rFonts w:ascii="Calibri" w:hAnsi="Calibri"/>
          <w:i w:val="0"/>
          <w:color w:val="212529"/>
          <w:sz w:val="22"/>
        </w:rPr>
        <w:t>a = 3.0,  b = 1.12,  c = 2.5,  d = 0.35</w:t>
      </w:r>
    </w:p>
    <w:p>
      <w:pPr>
        <w:keepNext/>
        <w:spacing w:before="280" w:after="120"/>
      </w:pPr>
      <w:r>
        <w:rPr>
          <w:rFonts w:ascii="Calibri" w:hAnsi="Calibri"/>
          <w:b/>
          <w:color w:val="008080"/>
          <w:sz w:val="26"/>
        </w:rPr>
        <w:t>6.2 Aplicación del Modelo COCOMO Básico</w:t>
      </w:r>
    </w:p>
    <w:p>
      <w:pPr>
        <w:spacing w:after="120" w:line="276" w:lineRule="auto"/>
      </w:pPr>
      <w:r>
        <w:rPr>
          <w:rFonts w:ascii="Calibri" w:hAnsi="Calibri"/>
          <w:i w:val="0"/>
          <w:color w:val="212529"/>
          <w:sz w:val="22"/>
        </w:rPr>
        <w:t>Las fórmulas del modelo básico son:</w:t>
      </w:r>
    </w:p>
    <w:p>
      <w:pPr>
        <w:spacing w:after="120" w:line="276" w:lineRule="auto"/>
      </w:pPr>
      <w:r>
        <w:rPr>
          <w:rFonts w:ascii="Calibri" w:hAnsi="Calibri"/>
          <w:b/>
          <w:color w:val="212529"/>
          <w:sz w:val="22"/>
        </w:rPr>
        <w:t xml:space="preserve">1. Esfuerzo Nominal: </w:t>
      </w:r>
      <w:r>
        <w:rPr>
          <w:rFonts w:ascii="Calibri" w:hAnsi="Calibri"/>
          <w:i w:val="0"/>
          <w:color w:val="212529"/>
          <w:sz w:val="22"/>
        </w:rPr>
        <w:t>E = a × (KLOC)^b   [Esfuerzo nominal en Personas-Mes]</w:t>
      </w:r>
    </w:p>
    <w:p>
      <w:pPr>
        <w:spacing w:after="120" w:line="276" w:lineRule="auto"/>
      </w:pPr>
      <w:r>
        <w:rPr>
          <w:rFonts w:ascii="Calibri" w:hAnsi="Calibri"/>
          <w:b/>
          <w:color w:val="212529"/>
          <w:sz w:val="22"/>
        </w:rPr>
        <w:t xml:space="preserve">2. Tiempo de Desarrollo: </w:t>
      </w:r>
      <w:r>
        <w:rPr>
          <w:rFonts w:ascii="Calibri" w:hAnsi="Calibri"/>
          <w:i w:val="0"/>
          <w:color w:val="212529"/>
          <w:sz w:val="22"/>
        </w:rPr>
        <w:t>TDEV = c × (E)^d   [Tiempo de desarrollo en Meses]</w:t>
      </w:r>
    </w:p>
    <w:p>
      <w:pPr>
        <w:spacing w:after="120" w:line="276" w:lineRule="auto"/>
      </w:pPr>
      <w:r>
        <w:rPr>
          <w:rFonts w:ascii="Calibri" w:hAnsi="Calibri"/>
          <w:b/>
          <w:color w:val="212529"/>
          <w:sz w:val="22"/>
        </w:rPr>
        <w:t xml:space="preserve">3. Personal Promedio: </w:t>
      </w:r>
      <w:r>
        <w:rPr>
          <w:rFonts w:ascii="Calibri" w:hAnsi="Calibri"/>
          <w:i w:val="0"/>
          <w:color w:val="212529"/>
          <w:sz w:val="22"/>
        </w:rPr>
        <w:t>N = E / TDEV       [Cantidad de personal promedio]</w:t>
      </w:r>
    </w:p>
    <w:p>
      <w:pPr>
        <w:spacing w:after="120" w:line="276" w:lineRule="auto"/>
      </w:pPr>
      <w:r>
        <w:rPr>
          <w:rFonts w:ascii="Calibri" w:hAnsi="Calibri"/>
          <w:i w:val="0"/>
          <w:color w:val="212529"/>
          <w:sz w:val="22"/>
        </w:rPr>
        <w:t>Sustituyendo los valores del proyecto:</w:t>
      </w:r>
    </w:p>
    <w:p>
      <w:pPr>
        <w:spacing w:after="120" w:line="276" w:lineRule="auto"/>
      </w:pPr>
      <w:r>
        <w:rPr>
          <w:rFonts w:ascii="Calibri" w:hAnsi="Calibri"/>
          <w:b/>
          <w:color w:val="212529"/>
          <w:sz w:val="22"/>
        </w:rPr>
        <w:t xml:space="preserve">• Esfuerzo Básico: </w:t>
      </w:r>
      <w:r>
        <w:rPr>
          <w:rFonts w:ascii="Calibri" w:hAnsi="Calibri"/>
          <w:i w:val="0"/>
          <w:color w:val="212529"/>
          <w:sz w:val="22"/>
        </w:rPr>
        <w:t>E = 3.0 × (22.5)^1.12 = 3.0 × 32.511 = 97.53 Personas-Mes (PM).</w:t>
      </w:r>
    </w:p>
    <w:p>
      <w:pPr>
        <w:spacing w:after="120" w:line="276" w:lineRule="auto"/>
      </w:pPr>
      <w:r>
        <w:rPr>
          <w:rFonts w:ascii="Calibri" w:hAnsi="Calibri"/>
          <w:b/>
          <w:color w:val="212529"/>
          <w:sz w:val="22"/>
        </w:rPr>
        <w:t xml:space="preserve">• Tiempo Básico: </w:t>
      </w:r>
      <w:r>
        <w:rPr>
          <w:rFonts w:ascii="Calibri" w:hAnsi="Calibri"/>
          <w:i w:val="0"/>
          <w:color w:val="212529"/>
          <w:sz w:val="22"/>
        </w:rPr>
        <w:t>TDEV = 2.5 × (97.53)^0.35 = 2.5 × 1.989 = 4.97 Meses (≈ 20 semanas nominales).</w:t>
      </w:r>
    </w:p>
    <w:p>
      <w:pPr>
        <w:spacing w:after="120" w:line="276" w:lineRule="auto"/>
      </w:pPr>
      <w:r>
        <w:rPr>
          <w:rFonts w:ascii="Calibri" w:hAnsi="Calibri"/>
          <w:b/>
          <w:color w:val="212529"/>
          <w:sz w:val="22"/>
        </w:rPr>
        <w:t xml:space="preserve">• Personal Promedio Básico: </w:t>
      </w:r>
      <w:r>
        <w:rPr>
          <w:rFonts w:ascii="Calibri" w:hAnsi="Calibri"/>
          <w:i w:val="0"/>
          <w:color w:val="212529"/>
          <w:sz w:val="22"/>
        </w:rPr>
        <w:t>N = 97.53 / 4.97 = 19.6 personas nominales.</w:t>
      </w:r>
    </w:p>
    <w:p>
      <w:pPr>
        <w:spacing w:after="120" w:line="276" w:lineRule="auto"/>
      </w:pPr>
      <w:r>
        <w:rPr>
          <w:rFonts w:ascii="Calibri" w:hAnsi="Calibri"/>
          <w:b/>
          <w:color w:val="212529"/>
          <w:sz w:val="22"/>
        </w:rPr>
        <w:t xml:space="preserve">• Productividad Nominal: </w:t>
      </w:r>
      <w:r>
        <w:rPr>
          <w:rFonts w:ascii="Calibri" w:hAnsi="Calibri"/>
          <w:i w:val="0"/>
          <w:color w:val="212529"/>
          <w:sz w:val="22"/>
        </w:rPr>
        <w:t>Prod = 22,500 / 97.53 = 230.7 líneas de código por persona-mes.</w:t>
      </w:r>
    </w:p>
    <w:p>
      <w:pPr>
        <w:spacing w:after="120" w:line="276" w:lineRule="auto"/>
      </w:pPr>
      <w:r>
        <w:rPr>
          <w:rFonts w:ascii="Calibri" w:hAnsi="Calibri"/>
          <w:i w:val="0"/>
          <w:color w:val="212529"/>
          <w:sz w:val="22"/>
        </w:rPr>
        <w:t>Análisis Crítico: El modelo básico clásico fue concebido para desarrollos monolíticos tradicionales. Al no ponderar el uso de herramientas modernas (frameworks web, tipado estático, ORM y pipelines CI/CD), el modelo básico sobrestima el esfuerzo requerido. Es indispensable aplicar el Modelo Intermedio para calibrar la estimación a la realidad operativa.</w:t>
      </w:r>
    </w:p>
    <w:p>
      <w:pPr>
        <w:keepNext/>
        <w:spacing w:before="280" w:after="120"/>
      </w:pPr>
      <w:r>
        <w:rPr>
          <w:rFonts w:ascii="Calibri" w:hAnsi="Calibri"/>
          <w:b/>
          <w:color w:val="008080"/>
          <w:sz w:val="26"/>
        </w:rPr>
        <w:t>6.3 Aplicación del Modelo COCOMO Intermedio (15 Conductores de Costo)</w:t>
      </w:r>
    </w:p>
    <w:p>
      <w:pPr>
        <w:spacing w:after="120" w:line="276" w:lineRule="auto"/>
      </w:pPr>
      <w:r>
        <w:rPr>
          <w:rFonts w:ascii="Calibri" w:hAnsi="Calibri"/>
          <w:i w:val="0"/>
          <w:color w:val="212529"/>
          <w:sz w:val="22"/>
        </w:rPr>
        <w:t>El Modelo Intermedio introduce el Factor de Ajuste de Esfuerzo (EAF - Effort Adjustment Factor), calculado como el producto de 15 conductores de costo (*Cost Drivers*) agrupados en atributos del producto, de la computadora, del personal y del proyecto:</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B365D"/>
          </w:tcPr>
          <w:p>
            <w:r>
              <w:rPr>
                <w:rFonts w:ascii="Calibri" w:hAnsi="Calibri"/>
                <w:b/>
                <w:color w:val="FFFFFF"/>
                <w:sz w:val="18"/>
              </w:rPr>
              <w:t>Categoría</w:t>
            </w:r>
          </w:p>
        </w:tc>
        <w:tc>
          <w:tcPr>
            <w:tcW w:type="dxa" w:w="1872"/>
            <w:shd w:val="clear" w:color="auto" w:fill="1B365D"/>
          </w:tcPr>
          <w:p>
            <w:r>
              <w:rPr>
                <w:rFonts w:ascii="Calibri" w:hAnsi="Calibri"/>
                <w:b/>
                <w:color w:val="FFFFFF"/>
                <w:sz w:val="18"/>
              </w:rPr>
              <w:t>Conductor de Costo</w:t>
            </w:r>
          </w:p>
        </w:tc>
        <w:tc>
          <w:tcPr>
            <w:tcW w:type="dxa" w:w="1872"/>
            <w:shd w:val="clear" w:color="auto" w:fill="1B365D"/>
          </w:tcPr>
          <w:p>
            <w:r>
              <w:rPr>
                <w:rFonts w:ascii="Calibri" w:hAnsi="Calibri"/>
                <w:b/>
                <w:color w:val="FFFFFF"/>
                <w:sz w:val="18"/>
              </w:rPr>
              <w:t>Nivel</w:t>
            </w:r>
          </w:p>
        </w:tc>
        <w:tc>
          <w:tcPr>
            <w:tcW w:type="dxa" w:w="1872"/>
            <w:shd w:val="clear" w:color="auto" w:fill="1B365D"/>
          </w:tcPr>
          <w:p>
            <w:r>
              <w:rPr>
                <w:rFonts w:ascii="Calibri" w:hAnsi="Calibri"/>
                <w:b/>
                <w:color w:val="FFFFFF"/>
                <w:sz w:val="18"/>
              </w:rPr>
              <w:t>Multiplicador</w:t>
            </w:r>
          </w:p>
        </w:tc>
        <w:tc>
          <w:tcPr>
            <w:tcW w:type="dxa" w:w="1872"/>
            <w:shd w:val="clear" w:color="auto" w:fill="1B365D"/>
          </w:tcPr>
          <w:p>
            <w:r>
              <w:rPr>
                <w:rFonts w:ascii="Calibri" w:hAnsi="Calibri"/>
                <w:b/>
                <w:color w:val="FFFFFF"/>
                <w:sz w:val="18"/>
              </w:rPr>
              <w:t>Justificación Técnica</w:t>
            </w:r>
          </w:p>
        </w:tc>
      </w:tr>
      <w:tr>
        <w:tc>
          <w:tcPr>
            <w:tcW w:type="dxa" w:w="1872"/>
            <w:shd w:val="clear" w:color="auto" w:fill="FFFFFF"/>
          </w:tcPr>
          <w:p>
            <w:pPr>
              <w:spacing w:after="20"/>
            </w:pPr>
            <w:r>
              <w:rPr>
                <w:rFonts w:ascii="Calibri" w:hAnsi="Calibri"/>
                <w:sz w:val="17"/>
              </w:rPr>
              <w:t>Producto</w:t>
            </w:r>
          </w:p>
        </w:tc>
        <w:tc>
          <w:tcPr>
            <w:tcW w:type="dxa" w:w="1872"/>
            <w:shd w:val="clear" w:color="auto" w:fill="FFFFFF"/>
          </w:tcPr>
          <w:p>
            <w:pPr>
              <w:spacing w:after="20"/>
            </w:pPr>
            <w:r>
              <w:rPr>
                <w:rFonts w:ascii="Calibri" w:hAnsi="Calibri"/>
                <w:sz w:val="17"/>
              </w:rPr>
              <w:t>RELY - Confiabilidad requerida</w:t>
            </w:r>
          </w:p>
        </w:tc>
        <w:tc>
          <w:tcPr>
            <w:tcW w:type="dxa" w:w="1872"/>
            <w:shd w:val="clear" w:color="auto" w:fill="FFFFFF"/>
          </w:tcPr>
          <w:p>
            <w:pPr>
              <w:spacing w:after="20"/>
            </w:pPr>
            <w:r>
              <w:rPr>
                <w:rFonts w:ascii="Calibri" w:hAnsi="Calibri"/>
                <w:sz w:val="17"/>
              </w:rPr>
              <w:t>Alto</w:t>
            </w:r>
          </w:p>
        </w:tc>
        <w:tc>
          <w:tcPr>
            <w:tcW w:type="dxa" w:w="1872"/>
            <w:shd w:val="clear" w:color="auto" w:fill="FFFFFF"/>
          </w:tcPr>
          <w:p>
            <w:pPr>
              <w:spacing w:after="20"/>
            </w:pPr>
            <w:r>
              <w:rPr>
                <w:rFonts w:ascii="Calibri" w:hAnsi="Calibri"/>
                <w:b/>
                <w:sz w:val="17"/>
              </w:rPr>
              <w:t>1.15</w:t>
            </w:r>
          </w:p>
        </w:tc>
        <w:tc>
          <w:tcPr>
            <w:tcW w:type="dxa" w:w="1872"/>
            <w:shd w:val="clear" w:color="auto" w:fill="FFFFFF"/>
          </w:tcPr>
          <w:p>
            <w:pPr>
              <w:spacing w:after="20"/>
            </w:pPr>
            <w:r>
              <w:rPr>
                <w:rFonts w:ascii="Calibri" w:hAnsi="Calibri"/>
                <w:sz w:val="17"/>
              </w:rPr>
              <w:t>Manejo de dinero, pagos mixtos y trazabilidad inmutable.</w:t>
            </w:r>
          </w:p>
        </w:tc>
      </w:tr>
      <w:tr>
        <w:tc>
          <w:tcPr>
            <w:tcW w:type="dxa" w:w="1872"/>
            <w:shd w:val="clear" w:color="auto" w:fill="F4F6F8"/>
          </w:tcPr>
          <w:p>
            <w:pPr>
              <w:spacing w:after="20"/>
            </w:pPr>
            <w:r>
              <w:rPr>
                <w:rFonts w:ascii="Calibri" w:hAnsi="Calibri"/>
                <w:sz w:val="17"/>
              </w:rPr>
              <w:t>Producto</w:t>
            </w:r>
          </w:p>
        </w:tc>
        <w:tc>
          <w:tcPr>
            <w:tcW w:type="dxa" w:w="1872"/>
            <w:shd w:val="clear" w:color="auto" w:fill="F4F6F8"/>
          </w:tcPr>
          <w:p>
            <w:pPr>
              <w:spacing w:after="20"/>
            </w:pPr>
            <w:r>
              <w:rPr>
                <w:rFonts w:ascii="Calibri" w:hAnsi="Calibri"/>
                <w:sz w:val="17"/>
              </w:rPr>
              <w:t>DATA - Tamaño de base de datos</w:t>
            </w:r>
          </w:p>
        </w:tc>
        <w:tc>
          <w:tcPr>
            <w:tcW w:type="dxa" w:w="1872"/>
            <w:shd w:val="clear" w:color="auto" w:fill="F4F6F8"/>
          </w:tcPr>
          <w:p>
            <w:pPr>
              <w:spacing w:after="20"/>
            </w:pPr>
            <w:r>
              <w:rPr>
                <w:rFonts w:ascii="Calibri" w:hAnsi="Calibri"/>
                <w:sz w:val="17"/>
              </w:rPr>
              <w:t>Nominal</w:t>
            </w:r>
          </w:p>
        </w:tc>
        <w:tc>
          <w:tcPr>
            <w:tcW w:type="dxa" w:w="1872"/>
            <w:shd w:val="clear" w:color="auto" w:fill="F4F6F8"/>
          </w:tcPr>
          <w:p>
            <w:pPr>
              <w:spacing w:after="20"/>
            </w:pPr>
            <w:r>
              <w:rPr>
                <w:rFonts w:ascii="Calibri" w:hAnsi="Calibri"/>
                <w:b/>
                <w:sz w:val="17"/>
              </w:rPr>
              <w:t>1.00</w:t>
            </w:r>
          </w:p>
        </w:tc>
        <w:tc>
          <w:tcPr>
            <w:tcW w:type="dxa" w:w="1872"/>
            <w:shd w:val="clear" w:color="auto" w:fill="F4F6F8"/>
          </w:tcPr>
          <w:p>
            <w:pPr>
              <w:spacing w:after="20"/>
            </w:pPr>
            <w:r>
              <w:rPr>
                <w:rFonts w:ascii="Calibri" w:hAnsi="Calibri"/>
                <w:sz w:val="17"/>
              </w:rPr>
              <w:t>Volumen comercial moderado de cafetería.</w:t>
            </w:r>
          </w:p>
        </w:tc>
      </w:tr>
      <w:tr>
        <w:tc>
          <w:tcPr>
            <w:tcW w:type="dxa" w:w="1872"/>
            <w:shd w:val="clear" w:color="auto" w:fill="FFFFFF"/>
          </w:tcPr>
          <w:p>
            <w:pPr>
              <w:spacing w:after="20"/>
            </w:pPr>
            <w:r>
              <w:rPr>
                <w:rFonts w:ascii="Calibri" w:hAnsi="Calibri"/>
                <w:sz w:val="17"/>
              </w:rPr>
              <w:t>Producto</w:t>
            </w:r>
          </w:p>
        </w:tc>
        <w:tc>
          <w:tcPr>
            <w:tcW w:type="dxa" w:w="1872"/>
            <w:shd w:val="clear" w:color="auto" w:fill="FFFFFF"/>
          </w:tcPr>
          <w:p>
            <w:pPr>
              <w:spacing w:after="20"/>
            </w:pPr>
            <w:r>
              <w:rPr>
                <w:rFonts w:ascii="Calibri" w:hAnsi="Calibri"/>
                <w:sz w:val="17"/>
              </w:rPr>
              <w:t>CPLX - Complejidad del software</w:t>
            </w:r>
          </w:p>
        </w:tc>
        <w:tc>
          <w:tcPr>
            <w:tcW w:type="dxa" w:w="1872"/>
            <w:shd w:val="clear" w:color="auto" w:fill="FFFFFF"/>
          </w:tcPr>
          <w:p>
            <w:pPr>
              <w:spacing w:after="20"/>
            </w:pPr>
            <w:r>
              <w:rPr>
                <w:rFonts w:ascii="Calibri" w:hAnsi="Calibri"/>
                <w:sz w:val="17"/>
              </w:rPr>
              <w:t>Alto</w:t>
            </w:r>
          </w:p>
        </w:tc>
        <w:tc>
          <w:tcPr>
            <w:tcW w:type="dxa" w:w="1872"/>
            <w:shd w:val="clear" w:color="auto" w:fill="FFFFFF"/>
          </w:tcPr>
          <w:p>
            <w:pPr>
              <w:spacing w:after="20"/>
            </w:pPr>
            <w:r>
              <w:rPr>
                <w:rFonts w:ascii="Calibri" w:hAnsi="Calibri"/>
                <w:b/>
                <w:sz w:val="17"/>
              </w:rPr>
              <w:t>1.15</w:t>
            </w:r>
          </w:p>
        </w:tc>
        <w:tc>
          <w:tcPr>
            <w:tcW w:type="dxa" w:w="1872"/>
            <w:shd w:val="clear" w:color="auto" w:fill="FFFFFF"/>
          </w:tcPr>
          <w:p>
            <w:pPr>
              <w:spacing w:after="20"/>
            </w:pPr>
            <w:r>
              <w:rPr>
                <w:rFonts w:ascii="Calibri" w:hAnsi="Calibri"/>
                <w:sz w:val="17"/>
              </w:rPr>
              <w:t>Patrón Saga distribuido y mensajería RabbitMQ.</w:t>
            </w:r>
          </w:p>
        </w:tc>
      </w:tr>
      <w:tr>
        <w:tc>
          <w:tcPr>
            <w:tcW w:type="dxa" w:w="1872"/>
            <w:shd w:val="clear" w:color="auto" w:fill="F4F6F8"/>
          </w:tcPr>
          <w:p>
            <w:pPr>
              <w:spacing w:after="20"/>
            </w:pPr>
            <w:r>
              <w:rPr>
                <w:rFonts w:ascii="Calibri" w:hAnsi="Calibri"/>
                <w:sz w:val="17"/>
              </w:rPr>
              <w:t>Plataforma</w:t>
            </w:r>
          </w:p>
        </w:tc>
        <w:tc>
          <w:tcPr>
            <w:tcW w:type="dxa" w:w="1872"/>
            <w:shd w:val="clear" w:color="auto" w:fill="F4F6F8"/>
          </w:tcPr>
          <w:p>
            <w:pPr>
              <w:spacing w:after="20"/>
            </w:pPr>
            <w:r>
              <w:rPr>
                <w:rFonts w:ascii="Calibri" w:hAnsi="Calibri"/>
                <w:sz w:val="17"/>
              </w:rPr>
              <w:t>TIME - Restricción de tiempo CPU</w:t>
            </w:r>
          </w:p>
        </w:tc>
        <w:tc>
          <w:tcPr>
            <w:tcW w:type="dxa" w:w="1872"/>
            <w:shd w:val="clear" w:color="auto" w:fill="F4F6F8"/>
          </w:tcPr>
          <w:p>
            <w:pPr>
              <w:spacing w:after="20"/>
            </w:pPr>
            <w:r>
              <w:rPr>
                <w:rFonts w:ascii="Calibri" w:hAnsi="Calibri"/>
                <w:sz w:val="17"/>
              </w:rPr>
              <w:t>Nominal</w:t>
            </w:r>
          </w:p>
        </w:tc>
        <w:tc>
          <w:tcPr>
            <w:tcW w:type="dxa" w:w="1872"/>
            <w:shd w:val="clear" w:color="auto" w:fill="F4F6F8"/>
          </w:tcPr>
          <w:p>
            <w:pPr>
              <w:spacing w:after="20"/>
            </w:pPr>
            <w:r>
              <w:rPr>
                <w:rFonts w:ascii="Calibri" w:hAnsi="Calibri"/>
                <w:b/>
                <w:sz w:val="17"/>
              </w:rPr>
              <w:t>1.00</w:t>
            </w:r>
          </w:p>
        </w:tc>
        <w:tc>
          <w:tcPr>
            <w:tcW w:type="dxa" w:w="1872"/>
            <w:shd w:val="clear" w:color="auto" w:fill="F4F6F8"/>
          </w:tcPr>
          <w:p>
            <w:pPr>
              <w:spacing w:after="20"/>
            </w:pPr>
            <w:r>
              <w:rPr>
                <w:rFonts w:ascii="Calibri" w:hAnsi="Calibri"/>
                <w:sz w:val="17"/>
              </w:rPr>
              <w:t>Infraestructura Cloud Run escalable.</w:t>
            </w:r>
          </w:p>
        </w:tc>
      </w:tr>
      <w:tr>
        <w:tc>
          <w:tcPr>
            <w:tcW w:type="dxa" w:w="1872"/>
            <w:shd w:val="clear" w:color="auto" w:fill="FFFFFF"/>
          </w:tcPr>
          <w:p>
            <w:pPr>
              <w:spacing w:after="20"/>
            </w:pPr>
            <w:r>
              <w:rPr>
                <w:rFonts w:ascii="Calibri" w:hAnsi="Calibri"/>
                <w:sz w:val="17"/>
              </w:rPr>
              <w:t>Plataforma</w:t>
            </w:r>
          </w:p>
        </w:tc>
        <w:tc>
          <w:tcPr>
            <w:tcW w:type="dxa" w:w="1872"/>
            <w:shd w:val="clear" w:color="auto" w:fill="FFFFFF"/>
          </w:tcPr>
          <w:p>
            <w:pPr>
              <w:spacing w:after="20"/>
            </w:pPr>
            <w:r>
              <w:rPr>
                <w:rFonts w:ascii="Calibri" w:hAnsi="Calibri"/>
                <w:sz w:val="17"/>
              </w:rPr>
              <w:t>STOR - Restricción de memoria</w:t>
            </w:r>
          </w:p>
        </w:tc>
        <w:tc>
          <w:tcPr>
            <w:tcW w:type="dxa" w:w="1872"/>
            <w:shd w:val="clear" w:color="auto" w:fill="FFFFFF"/>
          </w:tcPr>
          <w:p>
            <w:pPr>
              <w:spacing w:after="20"/>
            </w:pPr>
            <w:r>
              <w:rPr>
                <w:rFonts w:ascii="Calibri" w:hAnsi="Calibri"/>
                <w:sz w:val="17"/>
              </w:rPr>
              <w:t>Nominal</w:t>
            </w:r>
          </w:p>
        </w:tc>
        <w:tc>
          <w:tcPr>
            <w:tcW w:type="dxa" w:w="1872"/>
            <w:shd w:val="clear" w:color="auto" w:fill="FFFFFF"/>
          </w:tcPr>
          <w:p>
            <w:pPr>
              <w:spacing w:after="20"/>
            </w:pPr>
            <w:r>
              <w:rPr>
                <w:rFonts w:ascii="Calibri" w:hAnsi="Calibri"/>
                <w:b/>
                <w:sz w:val="17"/>
              </w:rPr>
              <w:t>1.00</w:t>
            </w:r>
          </w:p>
        </w:tc>
        <w:tc>
          <w:tcPr>
            <w:tcW w:type="dxa" w:w="1872"/>
            <w:shd w:val="clear" w:color="auto" w:fill="FFFFFF"/>
          </w:tcPr>
          <w:p>
            <w:pPr>
              <w:spacing w:after="20"/>
            </w:pPr>
            <w:r>
              <w:rPr>
                <w:rFonts w:ascii="Calibri" w:hAnsi="Calibri"/>
                <w:sz w:val="17"/>
              </w:rPr>
              <w:t>Memoria adecuada en contenedores Docker.</w:t>
            </w:r>
          </w:p>
        </w:tc>
      </w:tr>
      <w:tr>
        <w:tc>
          <w:tcPr>
            <w:tcW w:type="dxa" w:w="1872"/>
            <w:shd w:val="clear" w:color="auto" w:fill="F4F6F8"/>
          </w:tcPr>
          <w:p>
            <w:pPr>
              <w:spacing w:after="20"/>
            </w:pPr>
            <w:r>
              <w:rPr>
                <w:rFonts w:ascii="Calibri" w:hAnsi="Calibri"/>
                <w:sz w:val="17"/>
              </w:rPr>
              <w:t>Plataforma</w:t>
            </w:r>
          </w:p>
        </w:tc>
        <w:tc>
          <w:tcPr>
            <w:tcW w:type="dxa" w:w="1872"/>
            <w:shd w:val="clear" w:color="auto" w:fill="F4F6F8"/>
          </w:tcPr>
          <w:p>
            <w:pPr>
              <w:spacing w:after="20"/>
            </w:pPr>
            <w:r>
              <w:rPr>
                <w:rFonts w:ascii="Calibri" w:hAnsi="Calibri"/>
                <w:sz w:val="17"/>
              </w:rPr>
              <w:t>VIRT - Volatilidad del entorno virtual</w:t>
            </w:r>
          </w:p>
        </w:tc>
        <w:tc>
          <w:tcPr>
            <w:tcW w:type="dxa" w:w="1872"/>
            <w:shd w:val="clear" w:color="auto" w:fill="F4F6F8"/>
          </w:tcPr>
          <w:p>
            <w:pPr>
              <w:spacing w:after="20"/>
            </w:pPr>
            <w:r>
              <w:rPr>
                <w:rFonts w:ascii="Calibri" w:hAnsi="Calibri"/>
                <w:sz w:val="17"/>
              </w:rPr>
              <w:t>Bajo</w:t>
            </w:r>
          </w:p>
        </w:tc>
        <w:tc>
          <w:tcPr>
            <w:tcW w:type="dxa" w:w="1872"/>
            <w:shd w:val="clear" w:color="auto" w:fill="F4F6F8"/>
          </w:tcPr>
          <w:p>
            <w:pPr>
              <w:spacing w:after="20"/>
            </w:pPr>
            <w:r>
              <w:rPr>
                <w:rFonts w:ascii="Calibri" w:hAnsi="Calibri"/>
                <w:b/>
                <w:sz w:val="17"/>
              </w:rPr>
              <w:t>0.87</w:t>
            </w:r>
          </w:p>
        </w:tc>
        <w:tc>
          <w:tcPr>
            <w:tcW w:type="dxa" w:w="1872"/>
            <w:shd w:val="clear" w:color="auto" w:fill="F4F6F8"/>
          </w:tcPr>
          <w:p>
            <w:pPr>
              <w:spacing w:after="20"/>
            </w:pPr>
            <w:r>
              <w:rPr>
                <w:rFonts w:ascii="Calibri" w:hAnsi="Calibri"/>
                <w:sz w:val="17"/>
              </w:rPr>
              <w:t>Node.js LTS y contenedores Docker estables.</w:t>
            </w:r>
          </w:p>
        </w:tc>
      </w:tr>
      <w:tr>
        <w:tc>
          <w:tcPr>
            <w:tcW w:type="dxa" w:w="1872"/>
            <w:shd w:val="clear" w:color="auto" w:fill="FFFFFF"/>
          </w:tcPr>
          <w:p>
            <w:pPr>
              <w:spacing w:after="20"/>
            </w:pPr>
            <w:r>
              <w:rPr>
                <w:rFonts w:ascii="Calibri" w:hAnsi="Calibri"/>
                <w:sz w:val="17"/>
              </w:rPr>
              <w:t>Plataforma</w:t>
            </w:r>
          </w:p>
        </w:tc>
        <w:tc>
          <w:tcPr>
            <w:tcW w:type="dxa" w:w="1872"/>
            <w:shd w:val="clear" w:color="auto" w:fill="FFFFFF"/>
          </w:tcPr>
          <w:p>
            <w:pPr>
              <w:spacing w:after="20"/>
            </w:pPr>
            <w:r>
              <w:rPr>
                <w:rFonts w:ascii="Calibri" w:hAnsi="Calibri"/>
                <w:sz w:val="17"/>
              </w:rPr>
              <w:t>TURN - Tiempo de respuesta comp.</w:t>
            </w:r>
          </w:p>
        </w:tc>
        <w:tc>
          <w:tcPr>
            <w:tcW w:type="dxa" w:w="1872"/>
            <w:shd w:val="clear" w:color="auto" w:fill="FFFFFF"/>
          </w:tcPr>
          <w:p>
            <w:pPr>
              <w:spacing w:after="20"/>
            </w:pPr>
            <w:r>
              <w:rPr>
                <w:rFonts w:ascii="Calibri" w:hAnsi="Calibri"/>
                <w:sz w:val="17"/>
              </w:rPr>
              <w:t>Nominal</w:t>
            </w:r>
          </w:p>
        </w:tc>
        <w:tc>
          <w:tcPr>
            <w:tcW w:type="dxa" w:w="1872"/>
            <w:shd w:val="clear" w:color="auto" w:fill="FFFFFF"/>
          </w:tcPr>
          <w:p>
            <w:pPr>
              <w:spacing w:after="20"/>
            </w:pPr>
            <w:r>
              <w:rPr>
                <w:rFonts w:ascii="Calibri" w:hAnsi="Calibri"/>
                <w:b/>
                <w:sz w:val="17"/>
              </w:rPr>
              <w:t>1.00</w:t>
            </w:r>
          </w:p>
        </w:tc>
        <w:tc>
          <w:tcPr>
            <w:tcW w:type="dxa" w:w="1872"/>
            <w:shd w:val="clear" w:color="auto" w:fill="FFFFFF"/>
          </w:tcPr>
          <w:p>
            <w:pPr>
              <w:spacing w:after="20"/>
            </w:pPr>
            <w:r>
              <w:rPr>
                <w:rFonts w:ascii="Calibri" w:hAnsi="Calibri"/>
                <w:sz w:val="17"/>
              </w:rPr>
              <w:t>Compilación veloz con Turborepo en local.</w:t>
            </w:r>
          </w:p>
        </w:tc>
      </w:tr>
      <w:tr>
        <w:tc>
          <w:tcPr>
            <w:tcW w:type="dxa" w:w="1872"/>
            <w:shd w:val="clear" w:color="auto" w:fill="F4F6F8"/>
          </w:tcPr>
          <w:p>
            <w:pPr>
              <w:spacing w:after="20"/>
            </w:pPr>
            <w:r>
              <w:rPr>
                <w:rFonts w:ascii="Calibri" w:hAnsi="Calibri"/>
                <w:sz w:val="17"/>
              </w:rPr>
              <w:t>Personal</w:t>
            </w:r>
          </w:p>
        </w:tc>
        <w:tc>
          <w:tcPr>
            <w:tcW w:type="dxa" w:w="1872"/>
            <w:shd w:val="clear" w:color="auto" w:fill="F4F6F8"/>
          </w:tcPr>
          <w:p>
            <w:pPr>
              <w:spacing w:after="20"/>
            </w:pPr>
            <w:r>
              <w:rPr>
                <w:rFonts w:ascii="Calibri" w:hAnsi="Calibri"/>
                <w:sz w:val="17"/>
              </w:rPr>
              <w:t>ACAP - Capacidad de análisis</w:t>
            </w:r>
          </w:p>
        </w:tc>
        <w:tc>
          <w:tcPr>
            <w:tcW w:type="dxa" w:w="1872"/>
            <w:shd w:val="clear" w:color="auto" w:fill="F4F6F8"/>
          </w:tcPr>
          <w:p>
            <w:pPr>
              <w:spacing w:after="20"/>
            </w:pPr>
            <w:r>
              <w:rPr>
                <w:rFonts w:ascii="Calibri" w:hAnsi="Calibri"/>
                <w:sz w:val="17"/>
              </w:rPr>
              <w:t>Alto</w:t>
            </w:r>
          </w:p>
        </w:tc>
        <w:tc>
          <w:tcPr>
            <w:tcW w:type="dxa" w:w="1872"/>
            <w:shd w:val="clear" w:color="auto" w:fill="F4F6F8"/>
          </w:tcPr>
          <w:p>
            <w:pPr>
              <w:spacing w:after="20"/>
            </w:pPr>
            <w:r>
              <w:rPr>
                <w:rFonts w:ascii="Calibri" w:hAnsi="Calibri"/>
                <w:b/>
                <w:sz w:val="17"/>
              </w:rPr>
              <w:t>0.86</w:t>
            </w:r>
          </w:p>
        </w:tc>
        <w:tc>
          <w:tcPr>
            <w:tcW w:type="dxa" w:w="1872"/>
            <w:shd w:val="clear" w:color="auto" w:fill="F4F6F8"/>
          </w:tcPr>
          <w:p>
            <w:pPr>
              <w:spacing w:after="20"/>
            </w:pPr>
            <w:r>
              <w:rPr>
                <w:rFonts w:ascii="Calibri" w:hAnsi="Calibri"/>
                <w:sz w:val="17"/>
              </w:rPr>
              <w:t>Dominio exhaustivo de la arquitectura y ODS.</w:t>
            </w:r>
          </w:p>
        </w:tc>
      </w:tr>
      <w:tr>
        <w:tc>
          <w:tcPr>
            <w:tcW w:type="dxa" w:w="1872"/>
            <w:shd w:val="clear" w:color="auto" w:fill="FFFFFF"/>
          </w:tcPr>
          <w:p>
            <w:pPr>
              <w:spacing w:after="20"/>
            </w:pPr>
            <w:r>
              <w:rPr>
                <w:rFonts w:ascii="Calibri" w:hAnsi="Calibri"/>
                <w:sz w:val="17"/>
              </w:rPr>
              <w:t>Personal</w:t>
            </w:r>
          </w:p>
        </w:tc>
        <w:tc>
          <w:tcPr>
            <w:tcW w:type="dxa" w:w="1872"/>
            <w:shd w:val="clear" w:color="auto" w:fill="FFFFFF"/>
          </w:tcPr>
          <w:p>
            <w:pPr>
              <w:spacing w:after="20"/>
            </w:pPr>
            <w:r>
              <w:rPr>
                <w:rFonts w:ascii="Calibri" w:hAnsi="Calibri"/>
                <w:sz w:val="17"/>
              </w:rPr>
              <w:t>AEXP - Experiencia en aplicación</w:t>
            </w:r>
          </w:p>
        </w:tc>
        <w:tc>
          <w:tcPr>
            <w:tcW w:type="dxa" w:w="1872"/>
            <w:shd w:val="clear" w:color="auto" w:fill="FFFFFF"/>
          </w:tcPr>
          <w:p>
            <w:pPr>
              <w:spacing w:after="20"/>
            </w:pPr>
            <w:r>
              <w:rPr>
                <w:rFonts w:ascii="Calibri" w:hAnsi="Calibri"/>
                <w:sz w:val="17"/>
              </w:rPr>
              <w:t>Nominal</w:t>
            </w:r>
          </w:p>
        </w:tc>
        <w:tc>
          <w:tcPr>
            <w:tcW w:type="dxa" w:w="1872"/>
            <w:shd w:val="clear" w:color="auto" w:fill="FFFFFF"/>
          </w:tcPr>
          <w:p>
            <w:pPr>
              <w:spacing w:after="20"/>
            </w:pPr>
            <w:r>
              <w:rPr>
                <w:rFonts w:ascii="Calibri" w:hAnsi="Calibri"/>
                <w:b/>
                <w:sz w:val="17"/>
              </w:rPr>
              <w:t>1.00</w:t>
            </w:r>
          </w:p>
        </w:tc>
        <w:tc>
          <w:tcPr>
            <w:tcW w:type="dxa" w:w="1872"/>
            <w:shd w:val="clear" w:color="auto" w:fill="FFFFFF"/>
          </w:tcPr>
          <w:p>
            <w:pPr>
              <w:spacing w:after="20"/>
            </w:pPr>
            <w:r>
              <w:rPr>
                <w:rFonts w:ascii="Calibri" w:hAnsi="Calibri"/>
                <w:sz w:val="17"/>
              </w:rPr>
              <w:t>Experiencia previa en sistemas comerciales web.</w:t>
            </w:r>
          </w:p>
        </w:tc>
      </w:tr>
      <w:tr>
        <w:tc>
          <w:tcPr>
            <w:tcW w:type="dxa" w:w="1872"/>
            <w:shd w:val="clear" w:color="auto" w:fill="F4F6F8"/>
          </w:tcPr>
          <w:p>
            <w:pPr>
              <w:spacing w:after="20"/>
            </w:pPr>
            <w:r>
              <w:rPr>
                <w:rFonts w:ascii="Calibri" w:hAnsi="Calibri"/>
                <w:sz w:val="17"/>
              </w:rPr>
              <w:t>Personal</w:t>
            </w:r>
          </w:p>
        </w:tc>
        <w:tc>
          <w:tcPr>
            <w:tcW w:type="dxa" w:w="1872"/>
            <w:shd w:val="clear" w:color="auto" w:fill="F4F6F8"/>
          </w:tcPr>
          <w:p>
            <w:pPr>
              <w:spacing w:after="20"/>
            </w:pPr>
            <w:r>
              <w:rPr>
                <w:rFonts w:ascii="Calibri" w:hAnsi="Calibri"/>
                <w:sz w:val="17"/>
              </w:rPr>
              <w:t>PCAP - Capacidad de programadores</w:t>
            </w:r>
          </w:p>
        </w:tc>
        <w:tc>
          <w:tcPr>
            <w:tcW w:type="dxa" w:w="1872"/>
            <w:shd w:val="clear" w:color="auto" w:fill="F4F6F8"/>
          </w:tcPr>
          <w:p>
            <w:pPr>
              <w:spacing w:after="20"/>
            </w:pPr>
            <w:r>
              <w:rPr>
                <w:rFonts w:ascii="Calibri" w:hAnsi="Calibri"/>
                <w:sz w:val="17"/>
              </w:rPr>
              <w:t>Alto</w:t>
            </w:r>
          </w:p>
        </w:tc>
        <w:tc>
          <w:tcPr>
            <w:tcW w:type="dxa" w:w="1872"/>
            <w:shd w:val="clear" w:color="auto" w:fill="F4F6F8"/>
          </w:tcPr>
          <w:p>
            <w:pPr>
              <w:spacing w:after="20"/>
            </w:pPr>
            <w:r>
              <w:rPr>
                <w:rFonts w:ascii="Calibri" w:hAnsi="Calibri"/>
                <w:b/>
                <w:sz w:val="17"/>
              </w:rPr>
              <w:t>0.86</w:t>
            </w:r>
          </w:p>
        </w:tc>
        <w:tc>
          <w:tcPr>
            <w:tcW w:type="dxa" w:w="1872"/>
            <w:shd w:val="clear" w:color="auto" w:fill="F4F6F8"/>
          </w:tcPr>
          <w:p>
            <w:pPr>
              <w:spacing w:after="20"/>
            </w:pPr>
            <w:r>
              <w:rPr>
                <w:rFonts w:ascii="Calibri" w:hAnsi="Calibri"/>
                <w:sz w:val="17"/>
              </w:rPr>
              <w:t>Dominio avanzado de TypeScript, Vue 3 y Next.js.</w:t>
            </w:r>
          </w:p>
        </w:tc>
      </w:tr>
      <w:tr>
        <w:tc>
          <w:tcPr>
            <w:tcW w:type="dxa" w:w="1872"/>
            <w:shd w:val="clear" w:color="auto" w:fill="FFFFFF"/>
          </w:tcPr>
          <w:p>
            <w:pPr>
              <w:spacing w:after="20"/>
            </w:pPr>
            <w:r>
              <w:rPr>
                <w:rFonts w:ascii="Calibri" w:hAnsi="Calibri"/>
                <w:sz w:val="17"/>
              </w:rPr>
              <w:t>Personal</w:t>
            </w:r>
          </w:p>
        </w:tc>
        <w:tc>
          <w:tcPr>
            <w:tcW w:type="dxa" w:w="1872"/>
            <w:shd w:val="clear" w:color="auto" w:fill="FFFFFF"/>
          </w:tcPr>
          <w:p>
            <w:pPr>
              <w:spacing w:after="20"/>
            </w:pPr>
            <w:r>
              <w:rPr>
                <w:rFonts w:ascii="Calibri" w:hAnsi="Calibri"/>
                <w:sz w:val="17"/>
              </w:rPr>
              <w:t>VEXP - Experiencia en plataforma</w:t>
            </w:r>
          </w:p>
        </w:tc>
        <w:tc>
          <w:tcPr>
            <w:tcW w:type="dxa" w:w="1872"/>
            <w:shd w:val="clear" w:color="auto" w:fill="FFFFFF"/>
          </w:tcPr>
          <w:p>
            <w:pPr>
              <w:spacing w:after="20"/>
            </w:pPr>
            <w:r>
              <w:rPr>
                <w:rFonts w:ascii="Calibri" w:hAnsi="Calibri"/>
                <w:sz w:val="17"/>
              </w:rPr>
              <w:t>Nominal</w:t>
            </w:r>
          </w:p>
        </w:tc>
        <w:tc>
          <w:tcPr>
            <w:tcW w:type="dxa" w:w="1872"/>
            <w:shd w:val="clear" w:color="auto" w:fill="FFFFFF"/>
          </w:tcPr>
          <w:p>
            <w:pPr>
              <w:spacing w:after="20"/>
            </w:pPr>
            <w:r>
              <w:rPr>
                <w:rFonts w:ascii="Calibri" w:hAnsi="Calibri"/>
                <w:b/>
                <w:sz w:val="17"/>
              </w:rPr>
              <w:t>1.00</w:t>
            </w:r>
          </w:p>
        </w:tc>
        <w:tc>
          <w:tcPr>
            <w:tcW w:type="dxa" w:w="1872"/>
            <w:shd w:val="clear" w:color="auto" w:fill="FFFFFF"/>
          </w:tcPr>
          <w:p>
            <w:pPr>
              <w:spacing w:after="20"/>
            </w:pPr>
            <w:r>
              <w:rPr>
                <w:rFonts w:ascii="Calibri" w:hAnsi="Calibri"/>
                <w:sz w:val="17"/>
              </w:rPr>
              <w:t>Familiaridad sólida con entornos Docker/Linux.</w:t>
            </w:r>
          </w:p>
        </w:tc>
      </w:tr>
      <w:tr>
        <w:tc>
          <w:tcPr>
            <w:tcW w:type="dxa" w:w="1872"/>
            <w:shd w:val="clear" w:color="auto" w:fill="F4F6F8"/>
          </w:tcPr>
          <w:p>
            <w:pPr>
              <w:spacing w:after="20"/>
            </w:pPr>
            <w:r>
              <w:rPr>
                <w:rFonts w:ascii="Calibri" w:hAnsi="Calibri"/>
                <w:sz w:val="17"/>
              </w:rPr>
              <w:t>Personal</w:t>
            </w:r>
          </w:p>
        </w:tc>
        <w:tc>
          <w:tcPr>
            <w:tcW w:type="dxa" w:w="1872"/>
            <w:shd w:val="clear" w:color="auto" w:fill="F4F6F8"/>
          </w:tcPr>
          <w:p>
            <w:pPr>
              <w:spacing w:after="20"/>
            </w:pPr>
            <w:r>
              <w:rPr>
                <w:rFonts w:ascii="Calibri" w:hAnsi="Calibri"/>
                <w:sz w:val="17"/>
              </w:rPr>
              <w:t>LEXP - Experiencia en lenguajes</w:t>
            </w:r>
          </w:p>
        </w:tc>
        <w:tc>
          <w:tcPr>
            <w:tcW w:type="dxa" w:w="1872"/>
            <w:shd w:val="clear" w:color="auto" w:fill="F4F6F8"/>
          </w:tcPr>
          <w:p>
            <w:pPr>
              <w:spacing w:after="20"/>
            </w:pPr>
            <w:r>
              <w:rPr>
                <w:rFonts w:ascii="Calibri" w:hAnsi="Calibri"/>
                <w:sz w:val="17"/>
              </w:rPr>
              <w:t>Alto</w:t>
            </w:r>
          </w:p>
        </w:tc>
        <w:tc>
          <w:tcPr>
            <w:tcW w:type="dxa" w:w="1872"/>
            <w:shd w:val="clear" w:color="auto" w:fill="F4F6F8"/>
          </w:tcPr>
          <w:p>
            <w:pPr>
              <w:spacing w:after="20"/>
            </w:pPr>
            <w:r>
              <w:rPr>
                <w:rFonts w:ascii="Calibri" w:hAnsi="Calibri"/>
                <w:b/>
                <w:sz w:val="17"/>
              </w:rPr>
              <w:t>0.95</w:t>
            </w:r>
          </w:p>
        </w:tc>
        <w:tc>
          <w:tcPr>
            <w:tcW w:type="dxa" w:w="1872"/>
            <w:shd w:val="clear" w:color="auto" w:fill="F4F6F8"/>
          </w:tcPr>
          <w:p>
            <w:pPr>
              <w:spacing w:after="20"/>
            </w:pPr>
            <w:r>
              <w:rPr>
                <w:rFonts w:ascii="Calibri" w:hAnsi="Calibri"/>
                <w:sz w:val="17"/>
              </w:rPr>
              <w:t>Dominio pleno de TypeScript y SQL.</w:t>
            </w:r>
          </w:p>
        </w:tc>
      </w:tr>
      <w:tr>
        <w:tc>
          <w:tcPr>
            <w:tcW w:type="dxa" w:w="1872"/>
            <w:shd w:val="clear" w:color="auto" w:fill="FFFFFF"/>
          </w:tcPr>
          <w:p>
            <w:pPr>
              <w:spacing w:after="20"/>
            </w:pPr>
            <w:r>
              <w:rPr>
                <w:rFonts w:ascii="Calibri" w:hAnsi="Calibri"/>
                <w:sz w:val="17"/>
              </w:rPr>
              <w:t>Proyecto</w:t>
            </w:r>
          </w:p>
        </w:tc>
        <w:tc>
          <w:tcPr>
            <w:tcW w:type="dxa" w:w="1872"/>
            <w:shd w:val="clear" w:color="auto" w:fill="FFFFFF"/>
          </w:tcPr>
          <w:p>
            <w:pPr>
              <w:spacing w:after="20"/>
            </w:pPr>
            <w:r>
              <w:rPr>
                <w:rFonts w:ascii="Calibri" w:hAnsi="Calibri"/>
                <w:sz w:val="17"/>
              </w:rPr>
              <w:t>MODP - Prácticas modernas program.</w:t>
            </w:r>
          </w:p>
        </w:tc>
        <w:tc>
          <w:tcPr>
            <w:tcW w:type="dxa" w:w="1872"/>
            <w:shd w:val="clear" w:color="auto" w:fill="FFFFFF"/>
          </w:tcPr>
          <w:p>
            <w:pPr>
              <w:spacing w:after="20"/>
            </w:pPr>
            <w:r>
              <w:rPr>
                <w:rFonts w:ascii="Calibri" w:hAnsi="Calibri"/>
                <w:sz w:val="17"/>
              </w:rPr>
              <w:t>Muy Alto</w:t>
            </w:r>
          </w:p>
        </w:tc>
        <w:tc>
          <w:tcPr>
            <w:tcW w:type="dxa" w:w="1872"/>
            <w:shd w:val="clear" w:color="auto" w:fill="FFFFFF"/>
          </w:tcPr>
          <w:p>
            <w:pPr>
              <w:spacing w:after="20"/>
            </w:pPr>
            <w:r>
              <w:rPr>
                <w:rFonts w:ascii="Calibri" w:hAnsi="Calibri"/>
                <w:b/>
                <w:sz w:val="17"/>
              </w:rPr>
              <w:t>0.82</w:t>
            </w:r>
          </w:p>
        </w:tc>
        <w:tc>
          <w:tcPr>
            <w:tcW w:type="dxa" w:w="1872"/>
            <w:shd w:val="clear" w:color="auto" w:fill="FFFFFF"/>
          </w:tcPr>
          <w:p>
            <w:pPr>
              <w:spacing w:after="20"/>
            </w:pPr>
            <w:r>
              <w:rPr>
                <w:rFonts w:ascii="Calibri" w:hAnsi="Calibri"/>
                <w:sz w:val="17"/>
              </w:rPr>
              <w:t>Metodología TDD, Monorepo y CI/CD en GitHub.</w:t>
            </w:r>
          </w:p>
        </w:tc>
      </w:tr>
      <w:tr>
        <w:tc>
          <w:tcPr>
            <w:tcW w:type="dxa" w:w="1872"/>
            <w:shd w:val="clear" w:color="auto" w:fill="F4F6F8"/>
          </w:tcPr>
          <w:p>
            <w:pPr>
              <w:spacing w:after="20"/>
            </w:pPr>
            <w:r>
              <w:rPr>
                <w:rFonts w:ascii="Calibri" w:hAnsi="Calibri"/>
                <w:sz w:val="17"/>
              </w:rPr>
              <w:t>Proyecto</w:t>
            </w:r>
          </w:p>
        </w:tc>
        <w:tc>
          <w:tcPr>
            <w:tcW w:type="dxa" w:w="1872"/>
            <w:shd w:val="clear" w:color="auto" w:fill="F4F6F8"/>
          </w:tcPr>
          <w:p>
            <w:pPr>
              <w:spacing w:after="20"/>
            </w:pPr>
            <w:r>
              <w:rPr>
                <w:rFonts w:ascii="Calibri" w:hAnsi="Calibri"/>
                <w:sz w:val="17"/>
              </w:rPr>
              <w:t>TOOL - Uso de herramientas software</w:t>
            </w:r>
          </w:p>
        </w:tc>
        <w:tc>
          <w:tcPr>
            <w:tcW w:type="dxa" w:w="1872"/>
            <w:shd w:val="clear" w:color="auto" w:fill="F4F6F8"/>
          </w:tcPr>
          <w:p>
            <w:pPr>
              <w:spacing w:after="20"/>
            </w:pPr>
            <w:r>
              <w:rPr>
                <w:rFonts w:ascii="Calibri" w:hAnsi="Calibri"/>
                <w:sz w:val="17"/>
              </w:rPr>
              <w:t>Alto</w:t>
            </w:r>
          </w:p>
        </w:tc>
        <w:tc>
          <w:tcPr>
            <w:tcW w:type="dxa" w:w="1872"/>
            <w:shd w:val="clear" w:color="auto" w:fill="F4F6F8"/>
          </w:tcPr>
          <w:p>
            <w:pPr>
              <w:spacing w:after="20"/>
            </w:pPr>
            <w:r>
              <w:rPr>
                <w:rFonts w:ascii="Calibri" w:hAnsi="Calibri"/>
                <w:b/>
                <w:sz w:val="17"/>
              </w:rPr>
              <w:t>0.91</w:t>
            </w:r>
          </w:p>
        </w:tc>
        <w:tc>
          <w:tcPr>
            <w:tcW w:type="dxa" w:w="1872"/>
            <w:shd w:val="clear" w:color="auto" w:fill="F4F6F8"/>
          </w:tcPr>
          <w:p>
            <w:pPr>
              <w:spacing w:after="20"/>
            </w:pPr>
            <w:r>
              <w:rPr>
                <w:rFonts w:ascii="Calibri" w:hAnsi="Calibri"/>
                <w:sz w:val="17"/>
              </w:rPr>
              <w:t>Linters, Prisma Studio, Vitest y Playwright.</w:t>
            </w:r>
          </w:p>
        </w:tc>
      </w:tr>
      <w:tr>
        <w:tc>
          <w:tcPr>
            <w:tcW w:type="dxa" w:w="1872"/>
            <w:shd w:val="clear" w:color="auto" w:fill="FFFFFF"/>
          </w:tcPr>
          <w:p>
            <w:pPr>
              <w:spacing w:after="20"/>
            </w:pPr>
            <w:r>
              <w:rPr>
                <w:rFonts w:ascii="Calibri" w:hAnsi="Calibri"/>
                <w:sz w:val="17"/>
              </w:rPr>
              <w:t>Proyecto</w:t>
            </w:r>
          </w:p>
        </w:tc>
        <w:tc>
          <w:tcPr>
            <w:tcW w:type="dxa" w:w="1872"/>
            <w:shd w:val="clear" w:color="auto" w:fill="FFFFFF"/>
          </w:tcPr>
          <w:p>
            <w:pPr>
              <w:spacing w:after="20"/>
            </w:pPr>
            <w:r>
              <w:rPr>
                <w:rFonts w:ascii="Calibri" w:hAnsi="Calibri"/>
                <w:sz w:val="17"/>
              </w:rPr>
              <w:t>SCED - Plazo de entrega requerido</w:t>
            </w:r>
          </w:p>
        </w:tc>
        <w:tc>
          <w:tcPr>
            <w:tcW w:type="dxa" w:w="1872"/>
            <w:shd w:val="clear" w:color="auto" w:fill="FFFFFF"/>
          </w:tcPr>
          <w:p>
            <w:pPr>
              <w:spacing w:after="20"/>
            </w:pPr>
            <w:r>
              <w:rPr>
                <w:rFonts w:ascii="Calibri" w:hAnsi="Calibri"/>
                <w:sz w:val="17"/>
              </w:rPr>
              <w:t>Nominal</w:t>
            </w:r>
          </w:p>
        </w:tc>
        <w:tc>
          <w:tcPr>
            <w:tcW w:type="dxa" w:w="1872"/>
            <w:shd w:val="clear" w:color="auto" w:fill="FFFFFF"/>
          </w:tcPr>
          <w:p>
            <w:pPr>
              <w:spacing w:after="20"/>
            </w:pPr>
            <w:r>
              <w:rPr>
                <w:rFonts w:ascii="Calibri" w:hAnsi="Calibri"/>
                <w:b/>
                <w:sz w:val="17"/>
              </w:rPr>
              <w:t>1.00</w:t>
            </w:r>
          </w:p>
        </w:tc>
        <w:tc>
          <w:tcPr>
            <w:tcW w:type="dxa" w:w="1872"/>
            <w:shd w:val="clear" w:color="auto" w:fill="FFFFFF"/>
          </w:tcPr>
          <w:p>
            <w:pPr>
              <w:spacing w:after="20"/>
            </w:pPr>
            <w:r>
              <w:rPr>
                <w:rFonts w:ascii="Calibri" w:hAnsi="Calibri"/>
                <w:sz w:val="17"/>
              </w:rPr>
              <w:t>Plazo de 16 semanas planificado sin compresión forzada.</w:t>
            </w:r>
          </w:p>
        </w:tc>
      </w:tr>
    </w:tbl>
    <w:p>
      <w:pPr>
        <w:keepNext/>
        <w:spacing w:before="200" w:after="80"/>
      </w:pPr>
      <w:r>
        <w:rPr>
          <w:rFonts w:ascii="Calibri" w:hAnsi="Calibri"/>
          <w:b/>
          <w:color w:val="212529"/>
          <w:sz w:val="23"/>
        </w:rPr>
        <w:t>Cálculo del Factor EAF y Resultados Intermedios</w:t>
      </w:r>
    </w:p>
    <w:p>
      <w:pPr>
        <w:spacing w:after="120" w:line="276" w:lineRule="auto"/>
      </w:pPr>
      <w:r>
        <w:rPr>
          <w:rFonts w:ascii="Calibri" w:hAnsi="Calibri"/>
          <w:i w:val="0"/>
          <w:color w:val="212529"/>
          <w:sz w:val="22"/>
        </w:rPr>
        <w:t>Multiplicando los 15 factores:</w:t>
        <w:br/>
        <w:t>EAF = 1.15 × 1.00 × 1.15 × 1.00 × 1.00 × 0.87 × 1.00 × 0.86 × 1.00 × 0.86 × 1.00 × 0.95 × 0.82 × 0.91 × 1.00 = 0.795.</w:t>
      </w:r>
    </w:p>
    <w:p>
      <w:pPr>
        <w:spacing w:after="120" w:line="276" w:lineRule="auto"/>
      </w:pPr>
      <w:r>
        <w:rPr>
          <w:rFonts w:ascii="Calibri" w:hAnsi="Calibri"/>
          <w:b/>
          <w:color w:val="212529"/>
          <w:sz w:val="22"/>
        </w:rPr>
        <w:t xml:space="preserve">• Esfuerzo Ajustado (Intermedio): </w:t>
      </w:r>
      <w:r>
        <w:rPr>
          <w:rFonts w:ascii="Calibri" w:hAnsi="Calibri"/>
          <w:i w:val="0"/>
          <w:color w:val="212529"/>
          <w:sz w:val="22"/>
        </w:rPr>
        <w:t>E_ajustado = EAF × E_básico = 0.795 × 97.53 PM = 77.54 Personas-Mes.</w:t>
      </w:r>
    </w:p>
    <w:p>
      <w:pPr>
        <w:spacing w:after="120" w:line="276" w:lineRule="auto"/>
      </w:pPr>
      <w:r>
        <w:rPr>
          <w:rFonts w:ascii="Calibri" w:hAnsi="Calibri"/>
          <w:b/>
          <w:color w:val="212529"/>
          <w:sz w:val="22"/>
        </w:rPr>
        <w:t xml:space="preserve">• Tiempo de Desarrollo Ajustado: </w:t>
      </w:r>
      <w:r>
        <w:rPr>
          <w:rFonts w:ascii="Calibri" w:hAnsi="Calibri"/>
          <w:i w:val="0"/>
          <w:color w:val="212529"/>
          <w:sz w:val="22"/>
        </w:rPr>
        <w:t>TDEV_ajustado = 2.5 × (77.54)^0.35 = 2.5 × 1.838 = 4.59 Meses (≈ 18.3 semanas).</w:t>
      </w:r>
    </w:p>
    <w:p>
      <w:pPr>
        <w:spacing w:after="120" w:line="276" w:lineRule="auto"/>
      </w:pPr>
      <w:r>
        <w:rPr>
          <w:rFonts w:ascii="Calibri" w:hAnsi="Calibri"/>
          <w:b/>
          <w:color w:val="212529"/>
          <w:sz w:val="22"/>
        </w:rPr>
        <w:t xml:space="preserve">• Personal Promedio Ajustado: </w:t>
      </w:r>
      <w:r>
        <w:rPr>
          <w:rFonts w:ascii="Calibri" w:hAnsi="Calibri"/>
          <w:i w:val="0"/>
          <w:color w:val="212529"/>
          <w:sz w:val="22"/>
        </w:rPr>
        <w:t>N_ajustado = 77.54 / 4.59 = 16.8 personas nominales.</w:t>
      </w:r>
    </w:p>
    <w:p>
      <w:pPr>
        <w:spacing w:after="120" w:line="276" w:lineRule="auto"/>
      </w:pPr>
      <w:r>
        <w:rPr>
          <w:rFonts w:ascii="Calibri" w:hAnsi="Calibri"/>
          <w:b/>
          <w:color w:val="212529"/>
          <w:sz w:val="22"/>
        </w:rPr>
        <w:t xml:space="preserve">• Productividad Ajustada: </w:t>
      </w:r>
      <w:r>
        <w:rPr>
          <w:rFonts w:ascii="Calibri" w:hAnsi="Calibri"/>
          <w:i w:val="0"/>
          <w:color w:val="212529"/>
          <w:sz w:val="22"/>
        </w:rPr>
        <w:t>Prod_intermedio = 22,500 / 77.54 = 290.2 líneas de código por persona-mes (Incremento del 25.8% en productividad).</w:t>
      </w:r>
    </w:p>
    <w:p>
      <w:pPr>
        <w:spacing w:after="120" w:line="276" w:lineRule="auto"/>
      </w:pPr>
      <w:r>
        <w:rPr>
          <w:rFonts w:ascii="Calibri" w:hAnsi="Calibri"/>
          <w:i w:val="0"/>
          <w:color w:val="212529"/>
          <w:sz w:val="22"/>
        </w:rPr>
        <w:t>Conclusión de la Estimación: El modelo intermedio demuestra que las altas calificaciones en factores humanos (ACAP, PCAP) y el uso de prácticas modernas de desarrollo (MODP = 0.82) compensan con creces la complejidad del sistema transaccional (CPLX = 1.15), reduciendo el esfuerzo total requerido en un 20.5% y validando la factibilidad técnica del proyecto en el plazo previsto de 4 meses.</w:t>
      </w:r>
    </w:p>
    <w:p>
      <w:pPr>
        <w:keepNext/>
        <w:spacing w:before="360" w:after="160"/>
      </w:pPr>
      <w:r>
        <w:rPr>
          <w:rFonts w:ascii="Calibri" w:hAnsi="Calibri"/>
          <w:b/>
          <w:color w:val="1B365D"/>
          <w:sz w:val="32"/>
        </w:rPr>
        <w:t>7. Estimación Presupuestal y Hoja de Costos</w:t>
      </w:r>
    </w:p>
    <w:p>
      <w:pPr>
        <w:spacing w:after="120" w:line="276" w:lineRule="auto"/>
      </w:pPr>
      <w:r>
        <w:rPr>
          <w:rFonts w:ascii="Calibri" w:hAnsi="Calibri"/>
          <w:i w:val="0"/>
          <w:color w:val="212529"/>
          <w:sz w:val="22"/>
        </w:rPr>
        <w:t>La estimación presupuestal del proyecto se calculó con base en la estructura de desglose del trabajo (WBS), clasificando los costos en recursos humanos especializados, equipamiento de mostrador (hardware), servicios en la nube y un fondo de contingencia preventivo para la mitigación de riesgos: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B365D"/>
          </w:tcPr>
          <w:p>
            <w:r>
              <w:rPr>
                <w:rFonts w:ascii="Calibri" w:hAnsi="Calibri"/>
                <w:b/>
                <w:color w:val="FFFFFF"/>
                <w:sz w:val="19"/>
              </w:rPr>
              <w:t>WBS</w:t>
            </w:r>
          </w:p>
        </w:tc>
        <w:tc>
          <w:tcPr>
            <w:tcW w:type="dxa" w:w="2340"/>
            <w:shd w:val="clear" w:color="auto" w:fill="1B365D"/>
          </w:tcPr>
          <w:p>
            <w:r>
              <w:rPr>
                <w:rFonts w:ascii="Calibri" w:hAnsi="Calibri"/>
                <w:b/>
                <w:color w:val="FFFFFF"/>
                <w:sz w:val="19"/>
              </w:rPr>
              <w:t>Categoría del Presupuesto</w:t>
            </w:r>
          </w:p>
        </w:tc>
        <w:tc>
          <w:tcPr>
            <w:tcW w:type="dxa" w:w="2340"/>
            <w:shd w:val="clear" w:color="auto" w:fill="1B365D"/>
          </w:tcPr>
          <w:p>
            <w:r>
              <w:rPr>
                <w:rFonts w:ascii="Calibri" w:hAnsi="Calibri"/>
                <w:b/>
                <w:color w:val="FFFFFF"/>
                <w:sz w:val="19"/>
              </w:rPr>
              <w:t>Descripción y Justificación</w:t>
            </w:r>
          </w:p>
        </w:tc>
        <w:tc>
          <w:tcPr>
            <w:tcW w:type="dxa" w:w="2340"/>
            <w:shd w:val="clear" w:color="auto" w:fill="1B365D"/>
          </w:tcPr>
          <w:p>
            <w:r>
              <w:rPr>
                <w:rFonts w:ascii="Calibri" w:hAnsi="Calibri"/>
                <w:b/>
                <w:color w:val="FFFFFF"/>
                <w:sz w:val="19"/>
              </w:rPr>
              <w:t>Costo Total (MXN)</w:t>
            </w:r>
          </w:p>
        </w:tc>
      </w:tr>
      <w:tr>
        <w:tc>
          <w:tcPr>
            <w:tcW w:type="dxa" w:w="2340"/>
            <w:shd w:val="clear" w:color="auto" w:fill="FFFFFF"/>
          </w:tcPr>
          <w:p>
            <w:pPr>
              <w:spacing w:after="40"/>
            </w:pPr>
            <w:r>
              <w:rPr>
                <w:rFonts w:ascii="Calibri" w:hAnsi="Calibri"/>
                <w:sz w:val="19"/>
              </w:rPr>
              <w:t>1.0</w:t>
            </w:r>
          </w:p>
        </w:tc>
        <w:tc>
          <w:tcPr>
            <w:tcW w:type="dxa" w:w="2340"/>
            <w:shd w:val="clear" w:color="auto" w:fill="FFFFFF"/>
          </w:tcPr>
          <w:p>
            <w:pPr>
              <w:spacing w:after="40"/>
            </w:pPr>
            <w:r>
              <w:rPr>
                <w:rFonts w:ascii="Calibri" w:hAnsi="Calibri"/>
                <w:sz w:val="19"/>
              </w:rPr>
              <w:t>Recursos Humanos (Labor)</w:t>
            </w:r>
          </w:p>
        </w:tc>
        <w:tc>
          <w:tcPr>
            <w:tcW w:type="dxa" w:w="2340"/>
            <w:shd w:val="clear" w:color="auto" w:fill="FFFFFF"/>
          </w:tcPr>
          <w:p>
            <w:pPr>
              <w:spacing w:after="40"/>
            </w:pPr>
            <w:r>
              <w:rPr>
                <w:rFonts w:ascii="Calibri" w:hAnsi="Calibri"/>
                <w:sz w:val="19"/>
              </w:rPr>
              <w:t>5 Roles técnicos (Scrum Master, Arquitecto, Devs, QA) — 2,720 horas profesionales.</w:t>
            </w:r>
          </w:p>
        </w:tc>
        <w:tc>
          <w:tcPr>
            <w:tcW w:type="dxa" w:w="2340"/>
            <w:shd w:val="clear" w:color="auto" w:fill="FFFFFF"/>
          </w:tcPr>
          <w:p>
            <w:pPr>
              <w:spacing w:after="40"/>
            </w:pPr>
            <w:r>
              <w:rPr>
                <w:rFonts w:ascii="Calibri" w:hAnsi="Calibri"/>
                <w:sz w:val="19"/>
              </w:rPr>
              <w:t>$358,000.00 MXN</w:t>
            </w:r>
          </w:p>
        </w:tc>
      </w:tr>
      <w:tr>
        <w:tc>
          <w:tcPr>
            <w:tcW w:type="dxa" w:w="2340"/>
            <w:shd w:val="clear" w:color="auto" w:fill="F4F6F8"/>
          </w:tcPr>
          <w:p>
            <w:pPr>
              <w:spacing w:after="40"/>
            </w:pPr>
            <w:r>
              <w:rPr>
                <w:rFonts w:ascii="Calibri" w:hAnsi="Calibri"/>
                <w:sz w:val="19"/>
              </w:rPr>
              <w:t>2.0</w:t>
            </w:r>
          </w:p>
        </w:tc>
        <w:tc>
          <w:tcPr>
            <w:tcW w:type="dxa" w:w="2340"/>
            <w:shd w:val="clear" w:color="auto" w:fill="F4F6F8"/>
          </w:tcPr>
          <w:p>
            <w:pPr>
              <w:spacing w:after="40"/>
            </w:pPr>
            <w:r>
              <w:rPr>
                <w:rFonts w:ascii="Calibri" w:hAnsi="Calibri"/>
                <w:sz w:val="19"/>
              </w:rPr>
              <w:t>Recursos Materiales y Equipos</w:t>
            </w:r>
          </w:p>
        </w:tc>
        <w:tc>
          <w:tcPr>
            <w:tcW w:type="dxa" w:w="2340"/>
            <w:shd w:val="clear" w:color="auto" w:fill="F4F6F8"/>
          </w:tcPr>
          <w:p>
            <w:pPr>
              <w:spacing w:after="40"/>
            </w:pPr>
            <w:r>
              <w:rPr>
                <w:rFonts w:ascii="Calibri" w:hAnsi="Calibri"/>
                <w:sz w:val="19"/>
              </w:rPr>
              <w:t>Tablet mostrador 10.5" ($6,500), Impresora térmica 80mm ($1,800) y Scanner QR ($1,200).</w:t>
            </w:r>
          </w:p>
        </w:tc>
        <w:tc>
          <w:tcPr>
            <w:tcW w:type="dxa" w:w="2340"/>
            <w:shd w:val="clear" w:color="auto" w:fill="F4F6F8"/>
          </w:tcPr>
          <w:p>
            <w:pPr>
              <w:spacing w:after="40"/>
            </w:pPr>
            <w:r>
              <w:rPr>
                <w:rFonts w:ascii="Calibri" w:hAnsi="Calibri"/>
                <w:sz w:val="19"/>
              </w:rPr>
              <w:t>$9,500.00 MXN</w:t>
            </w:r>
          </w:p>
        </w:tc>
      </w:tr>
      <w:tr>
        <w:tc>
          <w:tcPr>
            <w:tcW w:type="dxa" w:w="2340"/>
            <w:shd w:val="clear" w:color="auto" w:fill="FFFFFF"/>
          </w:tcPr>
          <w:p>
            <w:pPr>
              <w:spacing w:after="40"/>
            </w:pPr>
            <w:r>
              <w:rPr>
                <w:rFonts w:ascii="Calibri" w:hAnsi="Calibri"/>
                <w:sz w:val="19"/>
              </w:rPr>
              <w:t>3.0</w:t>
            </w:r>
          </w:p>
        </w:tc>
        <w:tc>
          <w:tcPr>
            <w:tcW w:type="dxa" w:w="2340"/>
            <w:shd w:val="clear" w:color="auto" w:fill="FFFFFF"/>
          </w:tcPr>
          <w:p>
            <w:pPr>
              <w:spacing w:after="40"/>
            </w:pPr>
            <w:r>
              <w:rPr>
                <w:rFonts w:ascii="Calibri" w:hAnsi="Calibri"/>
                <w:sz w:val="19"/>
              </w:rPr>
              <w:t>Servicios Cloud y Licenciamiento</w:t>
            </w:r>
          </w:p>
        </w:tc>
        <w:tc>
          <w:tcPr>
            <w:tcW w:type="dxa" w:w="2340"/>
            <w:shd w:val="clear" w:color="auto" w:fill="FFFFFF"/>
          </w:tcPr>
          <w:p>
            <w:pPr>
              <w:spacing w:after="40"/>
            </w:pPr>
            <w:r>
              <w:rPr>
                <w:rFonts w:ascii="Calibri" w:hAnsi="Calibri"/>
                <w:sz w:val="19"/>
              </w:rPr>
              <w:t>Google Cloud Platform ($7,200), RabbitMQ CloudAMQP ($2,200), Dominio/SSL ($950), GitHub ($2,400).</w:t>
            </w:r>
          </w:p>
        </w:tc>
        <w:tc>
          <w:tcPr>
            <w:tcW w:type="dxa" w:w="2340"/>
            <w:shd w:val="clear" w:color="auto" w:fill="FFFFFF"/>
          </w:tcPr>
          <w:p>
            <w:pPr>
              <w:spacing w:after="40"/>
            </w:pPr>
            <w:r>
              <w:rPr>
                <w:rFonts w:ascii="Calibri" w:hAnsi="Calibri"/>
                <w:sz w:val="19"/>
              </w:rPr>
              <w:t>$12,750.00 MXN</w:t>
            </w:r>
          </w:p>
        </w:tc>
      </w:tr>
      <w:tr>
        <w:tc>
          <w:tcPr>
            <w:tcW w:type="dxa" w:w="2340"/>
            <w:shd w:val="clear" w:color="auto" w:fill="F4F6F8"/>
          </w:tcPr>
          <w:p>
            <w:pPr>
              <w:spacing w:after="40"/>
            </w:pPr>
            <w:r>
              <w:rPr>
                <w:rFonts w:ascii="Calibri" w:hAnsi="Calibri"/>
                <w:sz w:val="19"/>
              </w:rPr>
              <w:t>4.0</w:t>
            </w:r>
          </w:p>
        </w:tc>
        <w:tc>
          <w:tcPr>
            <w:tcW w:type="dxa" w:w="2340"/>
            <w:shd w:val="clear" w:color="auto" w:fill="F4F6F8"/>
          </w:tcPr>
          <w:p>
            <w:pPr>
              <w:spacing w:after="40"/>
            </w:pPr>
            <w:r>
              <w:rPr>
                <w:rFonts w:ascii="Calibri" w:hAnsi="Calibri"/>
                <w:sz w:val="19"/>
              </w:rPr>
              <w:t>Fondo de Contingencia Operativa</w:t>
            </w:r>
          </w:p>
        </w:tc>
        <w:tc>
          <w:tcPr>
            <w:tcW w:type="dxa" w:w="2340"/>
            <w:shd w:val="clear" w:color="auto" w:fill="F4F6F8"/>
          </w:tcPr>
          <w:p>
            <w:pPr>
              <w:spacing w:after="40"/>
            </w:pPr>
            <w:r>
              <w:rPr>
                <w:rFonts w:ascii="Calibri" w:hAnsi="Calibri"/>
                <w:sz w:val="19"/>
              </w:rPr>
              <w:t>Reserva del 10% para imprevistos técnicos, fluctuación cambiaria y picos de cómputo.</w:t>
            </w:r>
          </w:p>
        </w:tc>
        <w:tc>
          <w:tcPr>
            <w:tcW w:type="dxa" w:w="2340"/>
            <w:shd w:val="clear" w:color="auto" w:fill="F4F6F8"/>
          </w:tcPr>
          <w:p>
            <w:pPr>
              <w:spacing w:after="40"/>
            </w:pPr>
            <w:r>
              <w:rPr>
                <w:rFonts w:ascii="Calibri" w:hAnsi="Calibri"/>
                <w:sz w:val="19"/>
              </w:rPr>
              <w:t>$38,025.00 MXN</w:t>
            </w:r>
          </w:p>
        </w:tc>
      </w:tr>
      <w:tr>
        <w:tc>
          <w:tcPr>
            <w:tcW w:type="dxa" w:w="2340"/>
            <w:shd w:val="clear" w:color="auto" w:fill="1B365D"/>
          </w:tcPr>
          <w:p>
            <w:pPr>
              <w:spacing w:after="40"/>
            </w:pPr>
            <w:r>
              <w:rPr>
                <w:rFonts w:ascii="Calibri" w:hAnsi="Calibri"/>
                <w:b/>
                <w:color w:val="FFFFFF"/>
                <w:sz w:val="19"/>
              </w:rPr>
              <w:t>TOTAL</w:t>
            </w:r>
          </w:p>
        </w:tc>
        <w:tc>
          <w:tcPr>
            <w:tcW w:type="dxa" w:w="2340"/>
            <w:shd w:val="clear" w:color="auto" w:fill="1B365D"/>
          </w:tcPr>
          <w:p>
            <w:pPr>
              <w:spacing w:after="40"/>
            </w:pPr>
            <w:r>
              <w:rPr>
                <w:rFonts w:ascii="Calibri" w:hAnsi="Calibri"/>
                <w:b/>
                <w:color w:val="FFFFFF"/>
                <w:sz w:val="19"/>
              </w:rPr>
              <w:t>PRESUPUESTO TOTAL INTEGRAL</w:t>
            </w:r>
          </w:p>
        </w:tc>
        <w:tc>
          <w:tcPr>
            <w:tcW w:type="dxa" w:w="2340"/>
            <w:shd w:val="clear" w:color="auto" w:fill="1B365D"/>
          </w:tcPr>
          <w:p>
            <w:pPr>
              <w:spacing w:after="40"/>
            </w:pPr>
            <w:r>
              <w:rPr>
                <w:rFonts w:ascii="Calibri" w:hAnsi="Calibri"/>
                <w:b/>
                <w:color w:val="FFFFFF"/>
                <w:sz w:val="19"/>
              </w:rPr>
              <w:t>Inversión consolidada para el ciclo de 16 semanas (4 meses)</w:t>
            </w:r>
          </w:p>
        </w:tc>
        <w:tc>
          <w:tcPr>
            <w:tcW w:type="dxa" w:w="2340"/>
            <w:shd w:val="clear" w:color="auto" w:fill="1B365D"/>
          </w:tcPr>
          <w:p>
            <w:pPr>
              <w:spacing w:after="40"/>
            </w:pPr>
            <w:r>
              <w:rPr>
                <w:rFonts w:ascii="Calibri" w:hAnsi="Calibri"/>
                <w:b/>
                <w:color w:val="FFFFFF"/>
                <w:sz w:val="19"/>
              </w:rPr>
              <w:t>$418,275.00 MXN</w:t>
            </w:r>
          </w:p>
        </w:tc>
      </w:tr>
    </w:tbl>
    <w:p>
      <w:pPr>
        <w:keepNext/>
        <w:spacing w:before="280" w:after="120"/>
      </w:pPr>
      <w:r>
        <w:rPr>
          <w:rFonts w:ascii="Calibri" w:hAnsi="Calibri"/>
          <w:b/>
          <w:color w:val="008080"/>
          <w:sz w:val="26"/>
        </w:rPr>
        <w:t>7.1 Evidencia de la Plantilla de Presupuesto en Hoja de Cálculo</w:t>
      </w:r>
    </w:p>
    <w:p>
      <w:pPr>
        <w:spacing w:after="120" w:line="276" w:lineRule="auto"/>
      </w:pPr>
      <w:r>
        <w:rPr>
          <w:rFonts w:ascii="Calibri" w:hAnsi="Calibri"/>
          <w:i w:val="0"/>
          <w:color w:val="212529"/>
          <w:sz w:val="22"/>
        </w:rPr>
        <w:t>El desglose pormenorizado de las partidas presupuestales con sus fórmulas automatizadas de suma y multiplicación fue formalizado en el archivo Excel del proyecto (`Presupuesto_Monchis_Cafe.xlsx`), basado en la plantilla institucional de Smartsheet (`IC-Project-Budget-Proposal-11292.xlsx`).</w:t>
      </w:r>
    </w:p>
    <w:tbl>
      <w:tblPr>
        <w:tblW w:type="auto" w:w="0"/>
        <w:jc w:val="center"/>
        <w:tblLook w:firstColumn="1" w:firstRow="1" w:lastColumn="0" w:lastRow="0" w:noHBand="0" w:noVBand="1" w:val="04A0"/>
      </w:tblPr>
      <w:tblGrid>
        <w:gridCol w:w="9360"/>
      </w:tblGrid>
      <w:tr>
        <w:tc>
          <w:tcPr>
            <w:tcW w:type="dxa" w:w="9360"/>
            <w:shd w:val="clear" w:color="auto" w:fill="F4F6F8"/>
            <w:tcMar>
              <w:top w:w="140" w:type="dxa"/>
              <w:bottom w:w="140" w:type="dxa"/>
              <w:left w:w="200" w:type="dxa"/>
              <w:right w:w="200" w:type="dxa"/>
            </w:tcMar>
          </w:tcPr>
          <w:p>
            <w:pPr>
              <w:spacing w:after="80"/>
            </w:pPr>
            <w:r>
              <w:rPr>
                <w:rFonts w:ascii="Calibri" w:hAnsi="Calibri"/>
                <w:b/>
                <w:color w:val="1B365D"/>
                <w:sz w:val="22"/>
              </w:rPr>
              <w:t>★ ESPACIO DESIGNADO: CAPTURA DE PANTALLA DE LA HOJA DE CÁLCULO EXCEL</w:t>
            </w:r>
          </w:p>
          <w:p>
            <w:pPr>
              <w:spacing w:after="60"/>
            </w:pPr>
            <w:r>
              <w:rPr>
                <w:rFonts w:ascii="Calibri" w:hAnsi="Calibri"/>
                <w:color w:val="374151"/>
                <w:sz w:val="20"/>
              </w:rPr>
              <w:t>Instrucciones para el estudiante (Ernesto Fierro):</w:t>
            </w:r>
          </w:p>
          <w:p>
            <w:pPr>
              <w:spacing w:after="60"/>
            </w:pPr>
            <w:r>
              <w:rPr>
                <w:rFonts w:ascii="Calibri" w:hAnsi="Calibri"/>
                <w:color w:val="374151"/>
                <w:sz w:val="20"/>
              </w:rPr>
              <w:t>1. Abre en Excel el archivo generado: docs/presupuesto/Presupuesto_Monchis_Cafe.xlsx</w:t>
            </w:r>
          </w:p>
          <w:p>
            <w:pPr>
              <w:spacing w:after="60"/>
            </w:pPr>
            <w:r>
              <w:rPr>
                <w:rFonts w:ascii="Calibri" w:hAnsi="Calibri"/>
                <w:color w:val="374151"/>
                <w:sz w:val="20"/>
              </w:rPr>
              <w:t>2. Ajusta el zoom para que se aprecie la cabecera, la tabla de WBS y los subtotales formulados.</w:t>
            </w:r>
          </w:p>
          <w:p>
            <w:pPr>
              <w:spacing w:after="60"/>
            </w:pPr>
            <w:r>
              <w:rPr>
                <w:rFonts w:ascii="Calibri" w:hAnsi="Calibri"/>
                <w:color w:val="374151"/>
                <w:sz w:val="20"/>
              </w:rPr>
              <w:t>3. Toma una captura de pantalla clara (Win + Shift + S) y pégala exactamente dentro de este recuadro.</w:t>
            </w:r>
          </w:p>
          <w:p>
            <w:pPr>
              <w:spacing w:after="60"/>
            </w:pPr>
            <w:r>
              <w:rPr>
                <w:rFonts w:ascii="Calibri" w:hAnsi="Calibri"/>
                <w:color w:val="374151"/>
                <w:sz w:val="20"/>
              </w:rPr>
              <w:t>4. Esto garantiza que la evidencia visual sea 100% auténtica y tomada directamente de tu estación de trabajo.</w:t>
            </w:r>
          </w:p>
          <w:p>
            <w:pPr>
              <w:spacing w:after="60"/>
            </w:pPr>
            <w:r>
              <w:rPr>
                <w:rFonts w:ascii="Calibri" w:hAnsi="Calibri"/>
                <w:color w:val="374151"/>
                <w:sz w:val="20"/>
              </w:rPr>
            </w:r>
          </w:p>
          <w:p>
            <w:pPr>
              <w:spacing w:after="60"/>
            </w:pPr>
            <w:r>
              <w:rPr>
                <w:rFonts w:ascii="Calibri" w:hAnsi="Calibri"/>
                <w:color w:val="374151"/>
                <w:sz w:val="20"/>
              </w:rPr>
              <w:t>-----------------------------------------------------------------------------------------------------------------------------</w:t>
            </w:r>
          </w:p>
          <w:p>
            <w:pPr>
              <w:spacing w:after="60"/>
            </w:pPr>
            <w:r>
              <w:rPr>
                <w:rFonts w:ascii="Calibri" w:hAnsi="Calibri"/>
                <w:color w:val="374151"/>
                <w:sz w:val="20"/>
              </w:rPr>
              <w:t>[ &gt;&gt;&gt; PEGAR AQUÍ LA CAPTURA DE PANTALLA DE EXCEL ANTES DE EXPORTAR A PDF &lt;&lt;&lt; ]</w:t>
            </w:r>
          </w:p>
          <w:p>
            <w:pPr>
              <w:spacing w:after="60"/>
            </w:pPr>
            <w:r>
              <w:rPr>
                <w:rFonts w:ascii="Calibri" w:hAnsi="Calibri"/>
                <w:color w:val="374151"/>
                <w:sz w:val="20"/>
              </w:rPr>
              <w:t>-----------------------------------------------------------------------------------------------------------------------------</w:t>
            </w:r>
          </w:p>
        </w:tc>
      </w:tr>
    </w:tbl>
    <w:p>
      <w:pPr>
        <w:spacing w:after="120"/>
      </w:pPr>
    </w:p>
    <w:p>
      <w:pPr>
        <w:keepNext/>
        <w:spacing w:before="360" w:after="160"/>
      </w:pPr>
      <w:r>
        <w:rPr>
          <w:rFonts w:ascii="Calibri" w:hAnsi="Calibri"/>
          <w:b/>
          <w:color w:val="1B365D"/>
          <w:sz w:val="32"/>
        </w:rPr>
        <w:t>8. Modelado y Diseño de Software (UML y Wireframes)</w:t>
      </w:r>
    </w:p>
    <w:p>
      <w:pPr>
        <w:keepNext/>
        <w:spacing w:before="280" w:after="120"/>
      </w:pPr>
      <w:r>
        <w:rPr>
          <w:rFonts w:ascii="Calibri" w:hAnsi="Calibri"/>
          <w:b/>
          <w:color w:val="008080"/>
          <w:sz w:val="26"/>
        </w:rPr>
        <w:t>8.1 Diagrama de Casos de Uso</w:t>
      </w:r>
    </w:p>
    <w:p>
      <w:pPr>
        <w:spacing w:after="120" w:line="276" w:lineRule="auto"/>
      </w:pPr>
      <w:r>
        <w:rPr>
          <w:rFonts w:ascii="Calibri" w:hAnsi="Calibri"/>
          <w:i w:val="0"/>
          <w:color w:val="212529"/>
          <w:sz w:val="22"/>
        </w:rPr>
        <w:t>El sistema modela tres actores principales: el Barista/Cajero (operación directa en barra), el Administrador (gestión de catálogo, lotes y analítica UTM) y el Cliente (fidelización ecológica):</w:t>
      </w:r>
    </w:p>
    <w:p>
      <w:pPr>
        <w:spacing w:after="120" w:line="276" w:lineRule="auto"/>
      </w:pPr>
      <w:r>
        <w:rPr>
          <w:rFonts w:ascii="Calibri" w:hAnsi="Calibri"/>
          <w:b/>
          <w:color w:val="212529"/>
          <w:sz w:val="22"/>
        </w:rPr>
        <w:t xml:space="preserve">• Casos de Uso del Barista (POS): </w:t>
      </w:r>
      <w:r>
        <w:rPr>
          <w:rFonts w:ascii="Calibri" w:hAnsi="Calibri"/>
          <w:i w:val="0"/>
          <w:color w:val="212529"/>
          <w:sz w:val="22"/>
        </w:rPr>
        <w:t>Iniciar turno en caja, escanear productos y lotes, aplicar bono de termo reutilizable (-$5.00), procesar pagos mixtos (Efectivo con cálculo automático de vuelto, Tarjeta, SPEI, Puntos), emitir ticket digital con código QR de la finca cafetalera.</w:t>
      </w:r>
    </w:p>
    <w:p>
      <w:pPr>
        <w:spacing w:after="120" w:line="276" w:lineRule="auto"/>
      </w:pPr>
      <w:r>
        <w:rPr>
          <w:rFonts w:ascii="Calibri" w:hAnsi="Calibri"/>
          <w:b/>
          <w:color w:val="212529"/>
          <w:sz w:val="22"/>
        </w:rPr>
        <w:t xml:space="preserve">• Casos de Uso del Administrador: </w:t>
      </w:r>
      <w:r>
        <w:rPr>
          <w:rFonts w:ascii="Calibri" w:hAnsi="Calibri"/>
          <w:i w:val="0"/>
          <w:color w:val="212529"/>
          <w:sz w:val="22"/>
        </w:rPr>
        <w:t>Registrar fincas y lotes orgánicos con fecha de tueste, auditar el semáforo PEPS de caducidades, consultar métricas de atribución de canales de marketing (Google Maps vs Instagram) y monitorear la cola de mensajes muertos (DLQ).</w:t>
      </w:r>
    </w:p>
    <w:p>
      <w:pPr>
        <w:spacing w:after="120" w:line="276" w:lineRule="auto"/>
      </w:pPr>
      <w:r>
        <w:rPr>
          <w:rFonts w:ascii="Calibri" w:hAnsi="Calibri"/>
          <w:b/>
          <w:color w:val="212529"/>
          <w:sz w:val="22"/>
        </w:rPr>
        <w:t xml:space="preserve">• Casos de Uso del Cliente: </w:t>
      </w:r>
      <w:r>
        <w:rPr>
          <w:rFonts w:ascii="Calibri" w:hAnsi="Calibri"/>
          <w:i w:val="0"/>
          <w:color w:val="212529"/>
          <w:sz w:val="22"/>
        </w:rPr>
        <w:t>Consultar catálogo de especialidad prerenderizado con notas de cata, acumular sellos digitales por visita y canjear saldo en monedero digital.</w:t>
      </w:r>
    </w:p>
    <w:p>
      <w:pPr>
        <w:keepNext/>
        <w:spacing w:before="280" w:after="120"/>
      </w:pPr>
      <w:r>
        <w:rPr>
          <w:rFonts w:ascii="Calibri" w:hAnsi="Calibri"/>
          <w:b/>
          <w:color w:val="008080"/>
          <w:sz w:val="26"/>
        </w:rPr>
        <w:t>8.2 Diagrama de Secuencia: Orquestación Saga con RabbitMQ</w:t>
      </w:r>
    </w:p>
    <w:p>
      <w:pPr>
        <w:spacing w:after="120" w:line="276" w:lineRule="auto"/>
      </w:pPr>
      <w:r>
        <w:rPr>
          <w:rFonts w:ascii="Calibri" w:hAnsi="Calibri"/>
          <w:i w:val="0"/>
          <w:color w:val="212529"/>
          <w:sz w:val="22"/>
        </w:rPr>
        <w:t>Uno de los componentes arquitectónicos más robustos de Monchis Café es la garantía de consistencia eventual mediante el Patrón Saga. En un entorno con cobros mixtos y fluctuaciones de red, las transacciones distribuidas de dos fases (2PC) bloquean las bases de datos. En su lugar, el sistema orquesta eventos asíncronos:</w:t>
      </w:r>
    </w:p>
    <w:p>
      <w:pPr>
        <w:spacing w:after="120" w:line="276" w:lineRule="auto"/>
      </w:pPr>
      <w:r>
        <w:rPr>
          <w:rFonts w:ascii="Calibri" w:hAnsi="Calibri"/>
          <w:i w:val="0"/>
          <w:color w:val="212529"/>
          <w:sz w:val="22"/>
        </w:rPr>
        <w:t>1. El Barista presiona 'Cobrar Venta' en el POS Vue 3.</w:t>
        <w:br/>
        <w:t>2. El backend Next.js emite el evento 'OrderPlaced' al Topic Exchange de RabbitMQ.</w:t>
        <w:br/>
        <w:t>3. El orquestador Saga consume el evento y reserva el inventario del lote específico bajo política PEPS.</w:t>
        <w:br/>
        <w:t>4. Se envía la solicitud de cobro a la pasarela financiera.</w:t>
        <w:br/>
        <w:t>5. Escenario de Excepción: Si la pasarela bancaria rechaza la tarjeta o expira por timeout, el orquestador emite de inmediato el evento compensatorio 'RevertStockEvent'.</w:t>
        <w:br/>
        <w:t>6. El servicio de inventario repone el grano y descongela el lote sin intervención humana.</w:t>
        <w:br/>
        <w:t>7. El POS recibe la notificación en tiempo real vía WebSocket, informando al cajero que la venta fue cancelada y el stock permanece intacto.</w:t>
      </w:r>
    </w:p>
    <w:p>
      <w:pPr>
        <w:keepNext/>
        <w:spacing w:before="280" w:after="120"/>
      </w:pPr>
      <w:r>
        <w:rPr>
          <w:rFonts w:ascii="Calibri" w:hAnsi="Calibri"/>
          <w:b/>
          <w:color w:val="008080"/>
          <w:sz w:val="26"/>
        </w:rPr>
        <w:t>8.3 Bocetos y Wireframes de la Interfaz (UI/UX)</w:t>
      </w:r>
    </w:p>
    <w:p>
      <w:pPr>
        <w:spacing w:after="120" w:line="276" w:lineRule="auto"/>
      </w:pPr>
      <w:r>
        <w:rPr>
          <w:rFonts w:ascii="Calibri" w:hAnsi="Calibri"/>
          <w:i w:val="0"/>
          <w:color w:val="212529"/>
          <w:sz w:val="22"/>
        </w:rPr>
        <w:t>La interfaz del Punto de Venta se construyó con directrices de ergonomía táctil: botones grandes de categoría en la barra lateral izquierda, resumen dinámico del carrito en la columna derecha con interruptor de 'Bono Termo Ecológico', y teclado numérico adaptativo para cálculo instantáneo del cambio en efectivo. Cumple con los criterios de accesibilidad WCAG 2.1 nivel AA y un sistema cromático pastel relajante.</w:t>
      </w:r>
    </w:p>
    <w:p>
      <w:pPr>
        <w:keepNext/>
        <w:spacing w:before="360" w:after="160"/>
      </w:pPr>
      <w:r>
        <w:rPr>
          <w:rFonts w:ascii="Calibri" w:hAnsi="Calibri"/>
          <w:b/>
          <w:color w:val="1B365D"/>
          <w:sz w:val="32"/>
        </w:rPr>
        <w:t>9. Resultados Esperados e Impacto Medible en los ODS</w:t>
      </w:r>
    </w:p>
    <w:p>
      <w:pPr>
        <w:spacing w:after="120" w:line="276" w:lineRule="auto"/>
      </w:pPr>
      <w:r>
        <w:rPr>
          <w:rFonts w:ascii="Calibri" w:hAnsi="Calibri"/>
          <w:i w:val="0"/>
          <w:color w:val="212529"/>
          <w:sz w:val="22"/>
        </w:rPr>
        <w:t>El impacto del software se evaluará al cierre del ciclo operativo mediante los siguientes Indicadores Clave de Desempeño (KPIs):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B365D"/>
          </w:tcPr>
          <w:p>
            <w:r>
              <w:rPr>
                <w:rFonts w:ascii="Calibri" w:hAnsi="Calibri"/>
                <w:b/>
                <w:color w:val="FFFFFF"/>
                <w:sz w:val="19"/>
              </w:rPr>
              <w:t>ODS Asociado</w:t>
            </w:r>
          </w:p>
        </w:tc>
        <w:tc>
          <w:tcPr>
            <w:tcW w:type="dxa" w:w="2340"/>
            <w:shd w:val="clear" w:color="auto" w:fill="1B365D"/>
          </w:tcPr>
          <w:p>
            <w:r>
              <w:rPr>
                <w:rFonts w:ascii="Calibri" w:hAnsi="Calibri"/>
                <w:b/>
                <w:color w:val="FFFFFF"/>
                <w:sz w:val="19"/>
              </w:rPr>
              <w:t>Indicador Clave (KPI)</w:t>
            </w:r>
          </w:p>
        </w:tc>
        <w:tc>
          <w:tcPr>
            <w:tcW w:type="dxa" w:w="2340"/>
            <w:shd w:val="clear" w:color="auto" w:fill="1B365D"/>
          </w:tcPr>
          <w:p>
            <w:r>
              <w:rPr>
                <w:rFonts w:ascii="Calibri" w:hAnsi="Calibri"/>
                <w:b/>
                <w:color w:val="FFFFFF"/>
                <w:sz w:val="19"/>
              </w:rPr>
              <w:t>Línea Base (Sin Software)</w:t>
            </w:r>
          </w:p>
        </w:tc>
        <w:tc>
          <w:tcPr>
            <w:tcW w:type="dxa" w:w="2340"/>
            <w:shd w:val="clear" w:color="auto" w:fill="1B365D"/>
          </w:tcPr>
          <w:p>
            <w:r>
              <w:rPr>
                <w:rFonts w:ascii="Calibri" w:hAnsi="Calibri"/>
                <w:b/>
                <w:color w:val="FFFFFF"/>
                <w:sz w:val="19"/>
              </w:rPr>
              <w:t>Meta Cuantificable</w:t>
            </w:r>
          </w:p>
        </w:tc>
      </w:tr>
      <w:tr>
        <w:tc>
          <w:tcPr>
            <w:tcW w:type="dxa" w:w="2340"/>
            <w:shd w:val="clear" w:color="auto" w:fill="FFFFFF"/>
          </w:tcPr>
          <w:p>
            <w:pPr>
              <w:spacing w:after="40"/>
            </w:pPr>
            <w:r>
              <w:rPr>
                <w:rFonts w:ascii="Calibri" w:hAnsi="Calibri"/>
                <w:b/>
                <w:sz w:val="18"/>
              </w:rPr>
              <w:t>ODS 8: Trabajo Decente</w:t>
            </w:r>
          </w:p>
        </w:tc>
        <w:tc>
          <w:tcPr>
            <w:tcW w:type="dxa" w:w="2340"/>
            <w:shd w:val="clear" w:color="auto" w:fill="FFFFFF"/>
          </w:tcPr>
          <w:p>
            <w:pPr>
              <w:spacing w:after="40"/>
            </w:pPr>
            <w:r>
              <w:rPr>
                <w:rFonts w:ascii="Calibri" w:hAnsi="Calibri"/>
                <w:sz w:val="18"/>
              </w:rPr>
              <w:t>Tiempo promedio de registro y cobro en mostrador</w:t>
            </w:r>
          </w:p>
        </w:tc>
        <w:tc>
          <w:tcPr>
            <w:tcW w:type="dxa" w:w="2340"/>
            <w:shd w:val="clear" w:color="auto" w:fill="FFFFFF"/>
          </w:tcPr>
          <w:p>
            <w:pPr>
              <w:spacing w:after="40"/>
            </w:pPr>
            <w:r>
              <w:rPr>
                <w:rFonts w:ascii="Calibri" w:hAnsi="Calibri"/>
                <w:sz w:val="18"/>
              </w:rPr>
              <w:t>2.5 minutos por cliente</w:t>
            </w:r>
          </w:p>
        </w:tc>
        <w:tc>
          <w:tcPr>
            <w:tcW w:type="dxa" w:w="2340"/>
            <w:shd w:val="clear" w:color="auto" w:fill="FFFFFF"/>
          </w:tcPr>
          <w:p>
            <w:pPr>
              <w:spacing w:after="40"/>
            </w:pPr>
            <w:r>
              <w:rPr>
                <w:rFonts w:ascii="Calibri" w:hAnsi="Calibri"/>
                <w:sz w:val="18"/>
              </w:rPr>
              <w:t>&lt; 30 segundos en horas pico</w:t>
            </w:r>
          </w:p>
        </w:tc>
      </w:tr>
      <w:tr>
        <w:tc>
          <w:tcPr>
            <w:tcW w:type="dxa" w:w="2340"/>
            <w:shd w:val="clear" w:color="auto" w:fill="F4F6F8"/>
          </w:tcPr>
          <w:p>
            <w:pPr>
              <w:spacing w:after="40"/>
            </w:pPr>
            <w:r>
              <w:rPr>
                <w:rFonts w:ascii="Calibri" w:hAnsi="Calibri"/>
                <w:b/>
                <w:sz w:val="18"/>
              </w:rPr>
              <w:t>ODS 9: Innovación e Infraestructura</w:t>
            </w:r>
          </w:p>
        </w:tc>
        <w:tc>
          <w:tcPr>
            <w:tcW w:type="dxa" w:w="2340"/>
            <w:shd w:val="clear" w:color="auto" w:fill="F4F6F8"/>
          </w:tcPr>
          <w:p>
            <w:pPr>
              <w:spacing w:after="40"/>
            </w:pPr>
            <w:r>
              <w:rPr>
                <w:rFonts w:ascii="Calibri" w:hAnsi="Calibri"/>
                <w:sz w:val="18"/>
              </w:rPr>
              <w:t>Disponibilidad y resiliencia transaccional</w:t>
            </w:r>
          </w:p>
        </w:tc>
        <w:tc>
          <w:tcPr>
            <w:tcW w:type="dxa" w:w="2340"/>
            <w:shd w:val="clear" w:color="auto" w:fill="F4F6F8"/>
          </w:tcPr>
          <w:p>
            <w:pPr>
              <w:spacing w:after="40"/>
            </w:pPr>
            <w:r>
              <w:rPr>
                <w:rFonts w:ascii="Calibri" w:hAnsi="Calibri"/>
                <w:sz w:val="18"/>
              </w:rPr>
              <w:t>Caídas continuas en pico</w:t>
            </w:r>
          </w:p>
        </w:tc>
        <w:tc>
          <w:tcPr>
            <w:tcW w:type="dxa" w:w="2340"/>
            <w:shd w:val="clear" w:color="auto" w:fill="F4F6F8"/>
          </w:tcPr>
          <w:p>
            <w:pPr>
              <w:spacing w:after="40"/>
            </w:pPr>
            <w:r>
              <w:rPr>
                <w:rFonts w:ascii="Calibri" w:hAnsi="Calibri"/>
                <w:sz w:val="18"/>
              </w:rPr>
              <w:t>Uptime &gt; 99.5% y 0 pérdidas transaccionales</w:t>
            </w:r>
          </w:p>
        </w:tc>
      </w:tr>
      <w:tr>
        <w:tc>
          <w:tcPr>
            <w:tcW w:type="dxa" w:w="2340"/>
            <w:shd w:val="clear" w:color="auto" w:fill="FFFFFF"/>
          </w:tcPr>
          <w:p>
            <w:pPr>
              <w:spacing w:after="40"/>
            </w:pPr>
            <w:r>
              <w:rPr>
                <w:rFonts w:ascii="Calibri" w:hAnsi="Calibri"/>
                <w:b/>
                <w:sz w:val="18"/>
              </w:rPr>
              <w:t>ODS 12: Producción Responsable</w:t>
            </w:r>
          </w:p>
        </w:tc>
        <w:tc>
          <w:tcPr>
            <w:tcW w:type="dxa" w:w="2340"/>
            <w:shd w:val="clear" w:color="auto" w:fill="FFFFFF"/>
          </w:tcPr>
          <w:p>
            <w:pPr>
              <w:spacing w:after="40"/>
            </w:pPr>
            <w:r>
              <w:rPr>
                <w:rFonts w:ascii="Calibri" w:hAnsi="Calibri"/>
                <w:sz w:val="18"/>
              </w:rPr>
              <w:t>Desvío de vasos plásticos desechables</w:t>
            </w:r>
          </w:p>
        </w:tc>
        <w:tc>
          <w:tcPr>
            <w:tcW w:type="dxa" w:w="2340"/>
            <w:shd w:val="clear" w:color="auto" w:fill="FFFFFF"/>
          </w:tcPr>
          <w:p>
            <w:pPr>
              <w:spacing w:after="40"/>
            </w:pPr>
            <w:r>
              <w:rPr>
                <w:rFonts w:ascii="Calibri" w:hAnsi="Calibri"/>
                <w:sz w:val="18"/>
              </w:rPr>
              <w:t>0 vasos desviados</w:t>
            </w:r>
          </w:p>
        </w:tc>
        <w:tc>
          <w:tcPr>
            <w:tcW w:type="dxa" w:w="2340"/>
            <w:shd w:val="clear" w:color="auto" w:fill="FFFFFF"/>
          </w:tcPr>
          <w:p>
            <w:pPr>
              <w:spacing w:after="40"/>
            </w:pPr>
            <w:r>
              <w:rPr>
                <w:rFonts w:ascii="Calibri" w:hAnsi="Calibri"/>
                <w:sz w:val="18"/>
              </w:rPr>
              <w:t>&gt; 4,500 vasos plásticos ahorrados al semestre</w:t>
            </w:r>
          </w:p>
        </w:tc>
      </w:tr>
      <w:tr>
        <w:tc>
          <w:tcPr>
            <w:tcW w:type="dxa" w:w="2340"/>
            <w:shd w:val="clear" w:color="auto" w:fill="F4F6F8"/>
          </w:tcPr>
          <w:p>
            <w:pPr>
              <w:spacing w:after="40"/>
            </w:pPr>
            <w:r>
              <w:rPr>
                <w:rFonts w:ascii="Calibri" w:hAnsi="Calibri"/>
                <w:b/>
                <w:sz w:val="18"/>
              </w:rPr>
              <w:t>ODS 16: Instituciones Sólidas</w:t>
            </w:r>
          </w:p>
        </w:tc>
        <w:tc>
          <w:tcPr>
            <w:tcW w:type="dxa" w:w="2340"/>
            <w:shd w:val="clear" w:color="auto" w:fill="F4F6F8"/>
          </w:tcPr>
          <w:p>
            <w:pPr>
              <w:spacing w:after="40"/>
            </w:pPr>
            <w:r>
              <w:rPr>
                <w:rFonts w:ascii="Calibri" w:hAnsi="Calibri"/>
                <w:sz w:val="18"/>
              </w:rPr>
              <w:t>Discrepancias en arqueo diario de caja</w:t>
            </w:r>
          </w:p>
        </w:tc>
        <w:tc>
          <w:tcPr>
            <w:tcW w:type="dxa" w:w="2340"/>
            <w:shd w:val="clear" w:color="auto" w:fill="F4F6F8"/>
          </w:tcPr>
          <w:p>
            <w:pPr>
              <w:spacing w:after="40"/>
            </w:pPr>
            <w:r>
              <w:rPr>
                <w:rFonts w:ascii="Calibri" w:hAnsi="Calibri"/>
                <w:sz w:val="18"/>
              </w:rPr>
              <w:t>$350 - $600 MXN / semana</w:t>
            </w:r>
          </w:p>
        </w:tc>
        <w:tc>
          <w:tcPr>
            <w:tcW w:type="dxa" w:w="2340"/>
            <w:shd w:val="clear" w:color="auto" w:fill="F4F6F8"/>
          </w:tcPr>
          <w:p>
            <w:pPr>
              <w:spacing w:after="40"/>
            </w:pPr>
            <w:r>
              <w:rPr>
                <w:rFonts w:ascii="Calibri" w:hAnsi="Calibri"/>
                <w:sz w:val="18"/>
              </w:rPr>
              <w:t>Cero descuadres contables (100% auditado)</w:t>
            </w:r>
          </w:p>
        </w:tc>
      </w:tr>
    </w:tbl>
    <w:p>
      <w:r>
        <w:br w:type="page"/>
      </w:r>
    </w:p>
    <w:p>
      <w:pPr>
        <w:keepNext/>
        <w:spacing w:before="360" w:after="160"/>
      </w:pPr>
      <w:r>
        <w:rPr>
          <w:rFonts w:ascii="Calibri" w:hAnsi="Calibri"/>
          <w:b/>
          <w:color w:val="1B365D"/>
          <w:sz w:val="32"/>
        </w:rPr>
        <w:t>Referencias</w:t>
      </w:r>
    </w:p>
    <w:p>
      <w:pPr>
        <w:spacing w:after="120" w:line="276" w:lineRule="auto"/>
        <w:ind w:left="720" w:hanging="720"/>
      </w:pPr>
      <w:r>
        <w:rPr>
          <w:rFonts w:ascii="Calibri" w:hAnsi="Calibri"/>
          <w:sz w:val="20"/>
        </w:rPr>
        <w:t xml:space="preserve">Beck, K., Beedle, M., van Bennekum, A., Cockburn, A., Cunningham, W., Fowler, M., Grenning, J., Highsmith, J., Hunt, A., Jeffries, R., Kern, J., Marick, B., Martin, R. C., Mellor, S., Schwaber, K., Sutherland, J., &amp; Thomas, D. (2001). </w:t>
      </w:r>
      <w:r>
        <w:rPr>
          <w:rFonts w:ascii="Calibri" w:hAnsi="Calibri"/>
          <w:i/>
          <w:sz w:val="20"/>
        </w:rPr>
        <w:t xml:space="preserve">Manifesto for Agile Software Development. </w:t>
      </w:r>
      <w:r>
        <w:rPr>
          <w:rFonts w:ascii="Calibri" w:hAnsi="Calibri"/>
          <w:sz w:val="20"/>
        </w:rPr>
        <w:t>Agile Alliance. https://agilemanifesto.org/</w:t>
      </w:r>
    </w:p>
    <w:p>
      <w:pPr>
        <w:spacing w:after="120" w:line="276" w:lineRule="auto"/>
        <w:ind w:left="720" w:hanging="720"/>
      </w:pPr>
      <w:r>
        <w:rPr>
          <w:rFonts w:ascii="Calibri" w:hAnsi="Calibri"/>
          <w:sz w:val="20"/>
        </w:rPr>
        <w:t xml:space="preserve">Becker, C., Chitchyan, R., Duboc, L., Easterbrook, S., Penzenstadler, B., Seyff, N., &amp; Venters, C. C. (2015). </w:t>
      </w:r>
      <w:r>
        <w:rPr>
          <w:rFonts w:ascii="Calibri" w:hAnsi="Calibri"/>
          <w:i/>
          <w:sz w:val="20"/>
        </w:rPr>
        <w:t xml:space="preserve">Sustainability design in software engineering: Designing externalities. </w:t>
      </w:r>
      <w:r>
        <w:rPr>
          <w:rFonts w:ascii="Calibri" w:hAnsi="Calibri"/>
          <w:sz w:val="20"/>
        </w:rPr>
        <w:t>En Proceedings of the 37th IEEE/ACM International Conference on Software Engineering (ICSE 2015) (pp. 467–476). IEEE Computer Society. https://doi.org/10.1109/ICSE.2015.64</w:t>
      </w:r>
    </w:p>
    <w:p>
      <w:pPr>
        <w:spacing w:after="120" w:line="276" w:lineRule="auto"/>
        <w:ind w:left="720" w:hanging="720"/>
      </w:pPr>
      <w:r>
        <w:rPr>
          <w:rFonts w:ascii="Calibri" w:hAnsi="Calibri"/>
          <w:sz w:val="20"/>
        </w:rPr>
        <w:t xml:space="preserve">Boehm, B. W. (1981). </w:t>
      </w:r>
      <w:r>
        <w:rPr>
          <w:rFonts w:ascii="Calibri" w:hAnsi="Calibri"/>
          <w:i/>
          <w:sz w:val="20"/>
        </w:rPr>
        <w:t xml:space="preserve">Software engineering economics. </w:t>
      </w:r>
      <w:r>
        <w:rPr>
          <w:rFonts w:ascii="Calibri" w:hAnsi="Calibri"/>
          <w:sz w:val="20"/>
        </w:rPr>
        <w:t>Prentice-Hall.</w:t>
      </w:r>
    </w:p>
    <w:p>
      <w:pPr>
        <w:spacing w:after="120" w:line="276" w:lineRule="auto"/>
        <w:ind w:left="720" w:hanging="720"/>
      </w:pPr>
      <w:r>
        <w:rPr>
          <w:rFonts w:ascii="Calibri" w:hAnsi="Calibri"/>
          <w:sz w:val="20"/>
        </w:rPr>
        <w:t xml:space="preserve">Evans, E. (2003). </w:t>
      </w:r>
      <w:r>
        <w:rPr>
          <w:rFonts w:ascii="Calibri" w:hAnsi="Calibri"/>
          <w:i/>
          <w:sz w:val="20"/>
        </w:rPr>
        <w:t xml:space="preserve">Domain-driven design: Tackling complexity in the heart of software. </w:t>
      </w:r>
      <w:r>
        <w:rPr>
          <w:rFonts w:ascii="Calibri" w:hAnsi="Calibri"/>
          <w:sz w:val="20"/>
        </w:rPr>
        <w:t>Addison-Wesley Professional.</w:t>
      </w:r>
    </w:p>
    <w:p>
      <w:pPr>
        <w:spacing w:after="120" w:line="276" w:lineRule="auto"/>
        <w:ind w:left="720" w:hanging="720"/>
      </w:pPr>
      <w:r>
        <w:rPr>
          <w:rFonts w:ascii="Calibri" w:hAnsi="Calibri"/>
          <w:sz w:val="20"/>
        </w:rPr>
        <w:t xml:space="preserve">Fowler, M. (2019, 31 de enero). </w:t>
      </w:r>
      <w:r>
        <w:rPr>
          <w:rFonts w:ascii="Calibri" w:hAnsi="Calibri"/>
          <w:i/>
          <w:sz w:val="20"/>
        </w:rPr>
        <w:t xml:space="preserve">Saga pattern in microservices architectures. </w:t>
      </w:r>
      <w:r>
        <w:rPr>
          <w:rFonts w:ascii="Calibri" w:hAnsi="Calibri"/>
          <w:sz w:val="20"/>
        </w:rPr>
        <w:t>MartinFowler.com. https://martinfowler.com</w:t>
      </w:r>
    </w:p>
    <w:p>
      <w:pPr>
        <w:spacing w:after="120" w:line="276" w:lineRule="auto"/>
        <w:ind w:left="720" w:hanging="720"/>
      </w:pPr>
      <w:r>
        <w:rPr>
          <w:rFonts w:ascii="Calibri" w:hAnsi="Calibri"/>
          <w:sz w:val="20"/>
        </w:rPr>
        <w:t xml:space="preserve">Green Software Foundation. (2022). </w:t>
      </w:r>
      <w:r>
        <w:rPr>
          <w:rFonts w:ascii="Calibri" w:hAnsi="Calibri"/>
          <w:i/>
          <w:sz w:val="20"/>
        </w:rPr>
        <w:t xml:space="preserve">Software Carbon Intensity (SCI) specification v1.0. </w:t>
      </w:r>
      <w:r>
        <w:rPr>
          <w:rFonts w:ascii="Calibri" w:hAnsi="Calibri"/>
          <w:sz w:val="20"/>
        </w:rPr>
        <w:t>Green Software Foundation Standards. https://standards.greensoftware.foundation</w:t>
      </w:r>
    </w:p>
    <w:p>
      <w:pPr>
        <w:spacing w:after="120" w:line="276" w:lineRule="auto"/>
        <w:ind w:left="720" w:hanging="720"/>
      </w:pPr>
      <w:r>
        <w:rPr>
          <w:rFonts w:ascii="Calibri" w:hAnsi="Calibri"/>
          <w:sz w:val="20"/>
        </w:rPr>
        <w:t xml:space="preserve">Organización de las Naciones Unidas. (2015). </w:t>
      </w:r>
      <w:r>
        <w:rPr>
          <w:rFonts w:ascii="Calibri" w:hAnsi="Calibri"/>
          <w:i/>
          <w:sz w:val="20"/>
        </w:rPr>
        <w:t xml:space="preserve">Transformar nuestro mundo: la Agenda 2030 para el Desarrollo Sostenible (Resolución A/RES/70/1). </w:t>
      </w:r>
      <w:r>
        <w:rPr>
          <w:rFonts w:ascii="Calibri" w:hAnsi="Calibri"/>
          <w:sz w:val="20"/>
        </w:rPr>
        <w:t>Asamblea General de la ONU. https://undocs.org/es/A/RES/70/1</w:t>
      </w:r>
    </w:p>
    <w:p>
      <w:pPr>
        <w:spacing w:after="120" w:line="276" w:lineRule="auto"/>
        <w:ind w:left="720" w:hanging="720"/>
      </w:pPr>
      <w:r>
        <w:rPr>
          <w:rFonts w:ascii="Calibri" w:hAnsi="Calibri"/>
          <w:sz w:val="20"/>
        </w:rPr>
        <w:t xml:space="preserve">OWASP Foundation. (2021). </w:t>
      </w:r>
      <w:r>
        <w:rPr>
          <w:rFonts w:ascii="Calibri" w:hAnsi="Calibri"/>
          <w:i/>
          <w:sz w:val="20"/>
        </w:rPr>
        <w:t xml:space="preserve">OWASP Top 10: 2021 - Los diez riesgos más críticos de seguridad en aplicaciones web. </w:t>
      </w:r>
      <w:r>
        <w:rPr>
          <w:rFonts w:ascii="Calibri" w:hAnsi="Calibri"/>
          <w:sz w:val="20"/>
        </w:rPr>
        <w:t>Open Web Application Security Project. https://owasp.org/Top10/</w:t>
      </w:r>
    </w:p>
    <w:p>
      <w:pPr>
        <w:spacing w:after="120" w:line="276" w:lineRule="auto"/>
        <w:ind w:left="720" w:hanging="720"/>
      </w:pPr>
      <w:r>
        <w:rPr>
          <w:rFonts w:ascii="Calibri" w:hAnsi="Calibri"/>
          <w:sz w:val="20"/>
        </w:rPr>
        <w:t xml:space="preserve">Pressman, R. S., &amp; Maxim, B. R. (2020). </w:t>
      </w:r>
      <w:r>
        <w:rPr>
          <w:rFonts w:ascii="Calibri" w:hAnsi="Calibri"/>
          <w:i/>
          <w:sz w:val="20"/>
        </w:rPr>
        <w:t xml:space="preserve">Software engineering: A practitioner's approach (9a ed.). </w:t>
      </w:r>
      <w:r>
        <w:rPr>
          <w:rFonts w:ascii="Calibri" w:hAnsi="Calibri"/>
          <w:sz w:val="20"/>
        </w:rPr>
        <w:t>McGraw-Hill Education.</w:t>
      </w:r>
    </w:p>
    <w:p>
      <w:pPr>
        <w:spacing w:after="120" w:line="276" w:lineRule="auto"/>
        <w:ind w:left="720" w:hanging="720"/>
      </w:pPr>
      <w:r>
        <w:rPr>
          <w:rFonts w:ascii="Calibri" w:hAnsi="Calibri"/>
          <w:sz w:val="20"/>
        </w:rPr>
        <w:t xml:space="preserve">Schwaber, K., &amp; Sutherland, J. (2020). </w:t>
      </w:r>
      <w:r>
        <w:rPr>
          <w:rFonts w:ascii="Calibri" w:hAnsi="Calibri"/>
          <w:i/>
          <w:sz w:val="20"/>
        </w:rPr>
        <w:t xml:space="preserve">La Guía Definitiva de Scrum: Las Reglas del Juego. </w:t>
      </w:r>
      <w:r>
        <w:rPr>
          <w:rFonts w:ascii="Calibri" w:hAnsi="Calibri"/>
          <w:sz w:val="20"/>
        </w:rPr>
        <w:t>Scrum.org. https://scrumguides.org/</w:t>
      </w:r>
    </w:p>
    <w:p>
      <w:pPr>
        <w:spacing w:after="120" w:line="276" w:lineRule="auto"/>
        <w:ind w:left="720" w:hanging="720"/>
      </w:pPr>
      <w:r>
        <w:rPr>
          <w:rFonts w:ascii="Calibri" w:hAnsi="Calibri"/>
          <w:sz w:val="20"/>
        </w:rPr>
        <w:t xml:space="preserve">Sommerville, I. (2015). </w:t>
      </w:r>
      <w:r>
        <w:rPr>
          <w:rFonts w:ascii="Calibri" w:hAnsi="Calibri"/>
          <w:i/>
          <w:sz w:val="20"/>
        </w:rPr>
        <w:t xml:space="preserve">Software engineering (10a ed.). </w:t>
      </w:r>
      <w:r>
        <w:rPr>
          <w:rFonts w:ascii="Calibri" w:hAnsi="Calibri"/>
          <w:sz w:val="20"/>
        </w:rPr>
        <w:t>Pearson Education.</w:t>
      </w:r>
    </w:p>
    <w:p>
      <w:pPr>
        <w:spacing w:after="120" w:line="276" w:lineRule="auto"/>
        <w:ind w:left="720" w:hanging="720"/>
      </w:pPr>
      <w:r>
        <w:rPr>
          <w:rFonts w:ascii="Calibri" w:hAnsi="Calibri"/>
          <w:sz w:val="20"/>
        </w:rPr>
        <w:t xml:space="preserve">World Wide Web Consortium. (2018). </w:t>
      </w:r>
      <w:r>
        <w:rPr>
          <w:rFonts w:ascii="Calibri" w:hAnsi="Calibri"/>
          <w:i/>
          <w:sz w:val="20"/>
        </w:rPr>
        <w:t xml:space="preserve">Web Content Accessibility Guidelines (WCAG) 2.1. </w:t>
      </w:r>
      <w:r>
        <w:rPr>
          <w:rFonts w:ascii="Calibri" w:hAnsi="Calibri"/>
          <w:sz w:val="20"/>
        </w:rPr>
        <w:t>W3C Recommendation. https://www.w3.org/TR/WCAG21/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