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Calibri" w:hAnsi="Calibri"/>
          <w:b/>
          <w:color w:val="1B365D"/>
          <w:sz w:val="36"/>
        </w:rPr>
        <w:t>ACTIVIDAD 2.1. MODELO COCOMO BÁSICO</w:t>
        <w:br/>
        <w:t>ESTIMACIÓN DE ESFUERZO, TIEMPO Y PERSONAL</w:t>
      </w:r>
    </w:p>
    <w:p>
      <w:pPr>
        <w:spacing w:before="0" w:after="480"/>
        <w:jc w:val="center"/>
      </w:pPr>
      <w:r>
        <w:rPr>
          <w:rFonts w:ascii="Calibri" w:hAnsi="Calibri"/>
          <w:b/>
          <w:color w:val="008080"/>
          <w:sz w:val="24"/>
        </w:rPr>
        <w:t>CASO DE ESTUDIO: SISTEMA WEB DE GESTIÓN CLÍNICA "SALUD INTEGRAL"</w:t>
      </w:r>
    </w:p>
    <w:p>
      <w:pPr>
        <w:spacing w:line="312" w:lineRule="auto" w:after="500"/>
        <w:jc w:val="center"/>
      </w:pPr>
      <w:r>
        <w:rPr>
          <w:rFonts w:ascii="Calibri" w:hAnsi="Calibri"/>
          <w:b/>
          <w:color w:val="3C4655"/>
          <w:sz w:val="21"/>
        </w:rPr>
        <w:t xml:space="preserve">Materia: </w:t>
      </w:r>
      <w:r>
        <w:rPr>
          <w:rFonts w:ascii="Calibri" w:hAnsi="Calibri"/>
          <w:b w:val="0"/>
          <w:color w:val="3C4655"/>
          <w:sz w:val="21"/>
        </w:rPr>
        <w:t>Administración de Proyectos / Ingeniería de Software</w:t>
        <w:br/>
      </w:r>
      <w:r>
        <w:rPr>
          <w:rFonts w:ascii="Calibri" w:hAnsi="Calibri"/>
          <w:b/>
          <w:color w:val="3C4655"/>
          <w:sz w:val="21"/>
        </w:rPr>
        <w:t xml:space="preserve">Docente: </w:t>
      </w:r>
      <w:r>
        <w:rPr>
          <w:rFonts w:ascii="Calibri" w:hAnsi="Calibri"/>
          <w:b w:val="0"/>
          <w:color w:val="3C4655"/>
          <w:sz w:val="21"/>
        </w:rPr>
        <w:t>Dr. Gabriel Navarro Salcedo</w:t>
        <w:br/>
      </w:r>
      <w:r>
        <w:rPr>
          <w:rFonts w:ascii="Calibri" w:hAnsi="Calibri"/>
          <w:b/>
          <w:color w:val="3C4655"/>
          <w:sz w:val="21"/>
        </w:rPr>
        <w:t xml:space="preserve">Estudiante: </w:t>
      </w:r>
      <w:r>
        <w:rPr>
          <w:rFonts w:ascii="Calibri" w:hAnsi="Calibri"/>
          <w:b w:val="0"/>
          <w:color w:val="3C4655"/>
          <w:sz w:val="21"/>
        </w:rPr>
        <w:t>Ernesto Fierro</w:t>
        <w:br/>
      </w:r>
      <w:r>
        <w:rPr>
          <w:rFonts w:ascii="Calibri" w:hAnsi="Calibri"/>
          <w:b/>
          <w:color w:val="3C4655"/>
          <w:sz w:val="21"/>
        </w:rPr>
        <w:t xml:space="preserve">Fecha de Entrega: </w:t>
      </w:r>
      <w:r>
        <w:rPr>
          <w:rFonts w:ascii="Calibri" w:hAnsi="Calibri"/>
          <w:b w:val="0"/>
          <w:color w:val="3C4655"/>
          <w:sz w:val="21"/>
        </w:rPr>
        <w:t>29 de Septiembre de 2026</w:t>
        <w:br/>
      </w:r>
      <w:r>
        <w:rPr>
          <w:rFonts w:ascii="Calibri" w:hAnsi="Calibri"/>
          <w:b/>
          <w:color w:val="3C4655"/>
          <w:sz w:val="21"/>
        </w:rPr>
        <w:t xml:space="preserve">Ponderación: </w:t>
      </w:r>
      <w:r>
        <w:rPr>
          <w:rFonts w:ascii="Calibri" w:hAnsi="Calibri"/>
          <w:b w:val="0"/>
          <w:color w:val="3C4655"/>
          <w:sz w:val="21"/>
        </w:rPr>
        <w:t>2 Puntos (2% de la Evaluación Total)</w:t>
        <w:br/>
      </w:r>
      <w:r>
        <w:rPr>
          <w:rFonts w:ascii="Calibri" w:hAnsi="Calibri"/>
          <w:b/>
          <w:color w:val="3C4655"/>
          <w:sz w:val="21"/>
        </w:rPr>
        <w:t xml:space="preserve">Estado: </w:t>
      </w:r>
      <w:r>
        <w:rPr>
          <w:rFonts w:ascii="Calibri" w:hAnsi="Calibri"/>
          <w:b w:val="0"/>
          <w:color w:val="3C4655"/>
          <w:sz w:val="21"/>
        </w:rPr>
        <w:t>Solución Técnica y Matemática Completa</w:t>
      </w:r>
    </w:p>
    <w:p>
      <w:r>
        <w:br w:type="page"/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26"/>
        </w:rPr>
        <w:t>1. Análisis del Caso de Estudio: Clínica Universitaria "Salud Integral"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La Clínica Universitaria "Salud Integral" atiende consultas de medicina general y especialidad. Actualmente opera con expedientes en papel y registros manuales en hojas de cálculo (Excel), lo cual genera tiempos de espera elevados, pérdida de trazabilidad de pacientes y altos índices de inasistencia (no-show). Con el objetivo de modernizar la operación, la dirección institucional solicitó el desarrollo de una plataforma web (accesible desde computadoras y tablets) para centralizar la gestión clínica y administrativa.</w:t>
      </w: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1.1. Alcance Técnico y Dimensionamiento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Módulos del Sistema (7 módulos): </w:t>
      </w:r>
      <w:r>
        <w:rPr>
          <w:rFonts w:ascii="Calibri" w:hAnsi="Calibri"/>
          <w:color w:val="282828"/>
          <w:sz w:val="20"/>
        </w:rPr>
        <w:t>Pacientes, Citas médicas, Expediente clínico básico, Usuarios y Roles, Reportes mensuales, Importación histórica desde Excel y Notificaciones automáticas.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Volumen de Interfaces: </w:t>
      </w:r>
      <w:r>
        <w:rPr>
          <w:rFonts w:ascii="Calibri" w:hAnsi="Calibri"/>
          <w:color w:val="282828"/>
          <w:sz w:val="20"/>
        </w:rPr>
        <w:t>Aproximadamente 20 formularios y pantallas operativas interactivas responsivas para tablet y escritorio.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Modelo de Entidades: </w:t>
      </w:r>
      <w:r>
        <w:rPr>
          <w:rFonts w:ascii="Calibri" w:hAnsi="Calibri"/>
          <w:color w:val="282828"/>
          <w:sz w:val="20"/>
        </w:rPr>
        <w:t>10 entidades de datos fundamentales (Paciente, Médico, Especialidad, Cita, NotaConsulta, SignosVitales, Receta, Usuario, Rol, ArchivoAdjunto).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Integración Externa: </w:t>
      </w:r>
      <w:r>
        <w:rPr>
          <w:rFonts w:ascii="Calibri" w:hAnsi="Calibri"/>
          <w:color w:val="282828"/>
          <w:sz w:val="20"/>
        </w:rPr>
        <w:t>Consumo de API institucional preexistente para envío automatizado de SMS y correos electrónicos.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Migración de Datos: </w:t>
      </w:r>
      <w:r>
        <w:rPr>
          <w:rFonts w:ascii="Calibri" w:hAnsi="Calibri"/>
          <w:color w:val="282828"/>
          <w:sz w:val="20"/>
        </w:rPr>
        <w:t>Proceso de extracción, transformación y carga (ETL) de 2,000 registros desde archivos de Excel históricos.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Perfil del Equipo: </w:t>
      </w:r>
      <w:r>
        <w:rPr>
          <w:rFonts w:ascii="Calibri" w:hAnsi="Calibri"/>
          <w:color w:val="282828"/>
          <w:sz w:val="20"/>
        </w:rPr>
        <w:t>Se asume formalmente un equipo de desarrollo universitario con nivel de experiencia media.</w:t>
      </w: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1.2. Parámetros de Tamaño de Software (KLOC)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Código nuevo total: </w:t>
      </w:r>
      <w:r>
        <w:rPr>
          <w:rFonts w:ascii="Calibri" w:hAnsi="Calibri"/>
          <w:color w:val="282828"/>
          <w:sz w:val="20"/>
        </w:rPr>
        <w:t>18,000 líneas de código fuente (18 KLOC), estimadas por el coordinador técnico con base en proyectos precedentes.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Reutilización de código: </w:t>
      </w:r>
      <w:r>
        <w:rPr>
          <w:rFonts w:ascii="Calibri" w:hAnsi="Calibri"/>
          <w:color w:val="282828"/>
          <w:sz w:val="20"/>
        </w:rPr>
        <w:t>0 KLOC (no se contempla reutilización de código; se asume desarrollo 100% nuevo según la especificación).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Lenguaje de programación: </w:t>
      </w:r>
      <w:r>
        <w:rPr>
          <w:rFonts w:ascii="Calibri" w:hAnsi="Calibri"/>
          <w:color w:val="282828"/>
          <w:sz w:val="20"/>
        </w:rPr>
        <w:t>Indiferente para el Modelo Básico (COCOMO Básico opera directamente sobre el volumen en KLOC).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26"/>
        </w:rPr>
        <w:t>2. Formulación Matemática del Modelo COCOMO Básico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El Modelo Constructivo de Costos (COCOMO 81), propuesto por el Dr. Barry Boehm, es un modelo empírico de estimación algorítmica que permite proyectar el esfuerzo en personas-mes, el tiempo de entrega y el tamaño del equipo de trabajo en función del tamaño estimado del código fuente expresado en miles de líneas de código (KLOC).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9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/>
            <w:r>
              <w:rPr>
                <w:rFonts w:ascii="Calibri" w:hAnsi="Calibri"/>
                <w:b/>
                <w:color w:val="1B365D"/>
                <w:sz w:val="20"/>
              </w:rPr>
              <w:t>ECUACIONES OFICIALES DEL MODELO COCOMO BÁSICO: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1. Esfuerzo Aplicado (Personas-Mes): </w:t>
            </w:r>
            <w:r>
              <w:rPr>
                <w:rFonts w:ascii="Calibri" w:hAnsi="Calibri"/>
                <w:color w:val="323232"/>
                <w:sz w:val="19"/>
              </w:rPr>
              <w:t>PM = A · (KLOC)^B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2. Tiempo de Desarrollo Cronológico (Meses): </w:t>
            </w:r>
            <w:r>
              <w:rPr>
                <w:rFonts w:ascii="Calibri" w:hAnsi="Calibri"/>
                <w:color w:val="323232"/>
                <w:sz w:val="19"/>
              </w:rPr>
              <w:t>TDEV = C · (PM)^D  (notado como TDVE en las diapositivas de clase)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3. Número Óptimo de Personas Necesarias: </w:t>
            </w:r>
            <w:r>
              <w:rPr>
                <w:rFonts w:ascii="Calibri" w:hAnsi="Calibri"/>
                <w:color w:val="323232"/>
                <w:sz w:val="19"/>
              </w:rPr>
              <w:t>NP = PM / TDEV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2.1. Tabla Oficial de Coeficientes de Calibración COCOMO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De acuerdo con las diapositivas oficiales de la cátedra proporcionadas por el docente: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 de Proyecto</w:t>
            </w:r>
          </w:p>
        </w:tc>
        <w:tc>
          <w:tcPr>
            <w:tcW w:type="dxa" w:w="187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</w:t>
            </w:r>
          </w:p>
        </w:tc>
        <w:tc>
          <w:tcPr>
            <w:tcW w:type="dxa" w:w="187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</w:t>
            </w:r>
          </w:p>
        </w:tc>
        <w:tc>
          <w:tcPr>
            <w:tcW w:type="dxa" w:w="187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type="dxa" w:w="1872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Orgánico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2.40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1.05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2.50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0.38</w:t>
            </w:r>
          </w:p>
        </w:tc>
      </w:tr>
      <w:tr>
        <w:tc>
          <w:tcPr>
            <w:tcW w:type="dxa" w:w="1872"/>
            <w:shd w:val="clear" w:color="auto"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Medio (Semiacoplado) [Caso Asignado]</w:t>
            </w:r>
          </w:p>
        </w:tc>
        <w:tc>
          <w:tcPr>
            <w:tcW w:type="dxa" w:w="1872"/>
            <w:shd w:val="clear" w:color="auto"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3.00</w:t>
            </w:r>
          </w:p>
        </w:tc>
        <w:tc>
          <w:tcPr>
            <w:tcW w:type="dxa" w:w="1872"/>
            <w:shd w:val="clear" w:color="auto"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1.12</w:t>
            </w:r>
          </w:p>
        </w:tc>
        <w:tc>
          <w:tcPr>
            <w:tcW w:type="dxa" w:w="1872"/>
            <w:shd w:val="clear" w:color="auto"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2.50</w:t>
            </w:r>
          </w:p>
        </w:tc>
        <w:tc>
          <w:tcPr>
            <w:tcW w:type="dxa" w:w="1872"/>
            <w:shd w:val="clear" w:color="auto"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0.35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Embebido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3.60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1.20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2.50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0.32</w:t>
            </w:r>
          </w:p>
        </w:tc>
      </w:tr>
    </w:tbl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2.2. Justificación Técnica del Modo de Desarrollo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1. Experiencia del equipo: </w:t>
      </w:r>
      <w:r>
        <w:rPr>
          <w:rFonts w:ascii="Calibri" w:hAnsi="Calibri"/>
          <w:color w:val="282828"/>
          <w:sz w:val="20"/>
        </w:rPr>
        <w:t>El documento del caso señala explícitamente: "se asume un equipo de desarrollo universitario con experiencia media". En la taxonomía formal de Boehm, los equipos con niveles intermedios de experiencia corresponden estrictamente al Modo Medio (Semiacoplado).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2. Complejidad de integraciones y datos: </w:t>
      </w:r>
      <w:r>
        <w:rPr>
          <w:rFonts w:ascii="Calibri" w:hAnsi="Calibri"/>
          <w:color w:val="282828"/>
          <w:sz w:val="20"/>
        </w:rPr>
        <w:t>Con 18 KLOC, 20 interfaces y 10 entidades, el proyecto no es trivial y requiere interactuar con una API universitaria externa para notificaciones y migrar 2,000 registros heredados de Excel.</w:t>
      </w:r>
    </w:p>
    <w:p>
      <w:pPr>
        <w:spacing w:line="276" w:lineRule="auto" w:after="100"/>
        <w:jc w:val="both"/>
      </w:pPr>
      <w:r>
        <w:rPr>
          <w:rFonts w:ascii="Calibri" w:hAnsi="Calibri"/>
          <w:b/>
          <w:color w:val="1E1E1E"/>
          <w:sz w:val="20"/>
        </w:rPr>
        <w:t xml:space="preserve">• Nota metodológica: </w:t>
      </w:r>
      <w:r>
        <w:rPr>
          <w:rFonts w:ascii="Calibri" w:hAnsi="Calibri"/>
          <w:color w:val="282828"/>
          <w:sz w:val="20"/>
        </w:rPr>
        <w:t>Se presenta adicionalmente el Modo Orgánico como un análisis de sensibilidad comparativo frente a un escenario hipotético de máxima estabilidad y autonomía técnica.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26"/>
        </w:rPr>
        <w:t>3. Desarrollo y Cálculo del Modelo COCOMO Básico</w:t>
      </w: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3.1. Caso Principal: Modo Medio / Semiacoplado (A = 3.00, B = 1.12, C = 2.50, D = 0.35 | KLOC = 18)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008080"/>
              <w:top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/>
            <w:r>
              <w:rPr>
                <w:rFonts w:ascii="Calibri" w:hAnsi="Calibri"/>
                <w:b/>
                <w:color w:val="1B365D"/>
                <w:sz w:val="20"/>
              </w:rPr>
              <w:t>PASO 1: CÁLCULO DEL ESFUERZO (PM)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Fórmula: </w:t>
            </w:r>
            <w:r>
              <w:rPr>
                <w:rFonts w:ascii="Calibri" w:hAnsi="Calibri"/>
                <w:color w:val="323232"/>
                <w:sz w:val="19"/>
              </w:rPr>
              <w:t>PM = 3.00 · (18)^1.12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Evaluación exponencial: </w:t>
            </w:r>
            <w:r>
              <w:rPr>
                <w:rFonts w:ascii="Calibri" w:hAnsi="Calibri"/>
                <w:color w:val="323232"/>
                <w:sz w:val="19"/>
              </w:rPr>
              <w:t>18^1.12 ≈ 25.4627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Resultado: </w:t>
            </w:r>
            <w:r>
              <w:rPr>
                <w:rFonts w:ascii="Calibri" w:hAnsi="Calibri"/>
                <w:color w:val="323232"/>
                <w:sz w:val="19"/>
              </w:rPr>
              <w:t>PM = 3.00 · 25.4627 = 76.3882 ≈ 76.39 Personas-Mes</w:t>
            </w:r>
          </w:p>
          <w:p>
            <w:pPr>
              <w:spacing w:line="276" w:lineRule="auto" w:after="60"/>
            </w:pP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PASO 2: CÁLCULO DEL TIEMPO ESTIMADO DE DESARROLLO (TDEV)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Fórmula: </w:t>
            </w:r>
            <w:r>
              <w:rPr>
                <w:rFonts w:ascii="Calibri" w:hAnsi="Calibri"/>
                <w:color w:val="323232"/>
                <w:sz w:val="19"/>
              </w:rPr>
              <w:t>TDEV = 2.50 · (76.3882)^0.35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Evaluación exponencial: </w:t>
            </w:r>
            <w:r>
              <w:rPr>
                <w:rFonts w:ascii="Calibri" w:hAnsi="Calibri"/>
                <w:color w:val="323232"/>
                <w:sz w:val="19"/>
              </w:rPr>
              <w:t>(76.3882)^0.35 ≈ 4.5610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Resultado: </w:t>
            </w:r>
            <w:r>
              <w:rPr>
                <w:rFonts w:ascii="Calibri" w:hAnsi="Calibri"/>
                <w:color w:val="323232"/>
                <w:sz w:val="19"/>
              </w:rPr>
              <w:t>TDEV = 2.50 · 4.5610 = 11.4025 ≈ 11.40 Meses</w:t>
            </w:r>
          </w:p>
          <w:p>
            <w:pPr>
              <w:spacing w:line="276" w:lineRule="auto" w:after="60"/>
            </w:pP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PASO 3: CÁLCULO DEL NÚMERO ÓPTIMO DE DESARROLLADORES (NP)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Fórmula y resultado: </w:t>
            </w:r>
            <w:r>
              <w:rPr>
                <w:rFonts w:ascii="Calibri" w:hAnsi="Calibri"/>
                <w:color w:val="323232"/>
                <w:sz w:val="19"/>
              </w:rPr>
              <w:t>NP = PM / TDEV = 76.3882 / 11.4025 = 6.6993 ≈ 6.70 Desarrolladores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Equipo óptimo recomendado: </w:t>
            </w:r>
            <w:r>
              <w:rPr>
                <w:rFonts w:ascii="Calibri" w:hAnsi="Calibri"/>
                <w:color w:val="323232"/>
                <w:sz w:val="19"/>
              </w:rPr>
              <w:t>Aproximadamente 6 a 7 desarrolladores de tiempo completo (redondeo operativo a 7 personas).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3.2. Escenario Comparativo: Modo Orgánico (Análisis de Sensibilidad)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/>
            <w:r>
              <w:rPr>
                <w:rFonts w:ascii="Calibri" w:hAnsi="Calibri"/>
                <w:b/>
                <w:color w:val="1B365D"/>
                <w:sz w:val="20"/>
              </w:rPr>
              <w:t>PASO 1: CÁLCULO DEL ESFUERZO (PM)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Resultado: </w:t>
            </w:r>
            <w:r>
              <w:rPr>
                <w:rFonts w:ascii="Calibri" w:hAnsi="Calibri"/>
                <w:color w:val="323232"/>
                <w:sz w:val="19"/>
              </w:rPr>
              <w:t>PM = 2.40 · (18)^1.05 = 2.40 · 20.7987 = 49.9169 ≈ 49.92 Personas-Mes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PASO 2: CÁLCULO DEL TIEMPO (TDEV)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Resultado: </w:t>
            </w:r>
            <w:r>
              <w:rPr>
                <w:rFonts w:ascii="Calibri" w:hAnsi="Calibri"/>
                <w:color w:val="323232"/>
                <w:sz w:val="19"/>
              </w:rPr>
              <w:t>TDEV = 2.50 · (49.9169)^0.38 = 2.50 · 4.4191 = 11.0478 ≈ 11.05 Meses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PASO 3: CÁLCULO DEL PERSONAL (NP)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Resultado: </w:t>
            </w:r>
            <w:r>
              <w:rPr>
                <w:rFonts w:ascii="Calibri" w:hAnsi="Calibri"/>
                <w:color w:val="323232"/>
                <w:sz w:val="19"/>
              </w:rPr>
              <w:t>NP = 49.9169 / 11.0478 = 4.5183 ≈ 4.52 Desarrolladores (Equipo de 4 a 5 desarrolladores).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3.3. Matriz Resumen de Resultados COCOMO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Modo de Proyecto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Líneas (KLOC)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Esfuerzo (PM)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 (TDEV)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(NP)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Equipo Sugerido</w:t>
            </w:r>
          </w:p>
        </w:tc>
      </w:tr>
      <w:tr>
        <w:tc>
          <w:tcPr>
            <w:tcW w:type="dxa" w:w="1560"/>
            <w:shd w:val="clear" w:color="auto" w:fill="EBF3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Medio (Semiacoplado) [Caso Base]</w:t>
            </w:r>
          </w:p>
        </w:tc>
        <w:tc>
          <w:tcPr>
            <w:tcW w:type="dxa" w:w="1560"/>
            <w:shd w:val="clear" w:color="auto" w:fill="EBF3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 KLOC</w:t>
            </w:r>
          </w:p>
        </w:tc>
        <w:tc>
          <w:tcPr>
            <w:tcW w:type="dxa" w:w="1560"/>
            <w:shd w:val="clear" w:color="auto" w:fill="EBF3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76.39 PM</w:t>
            </w:r>
          </w:p>
        </w:tc>
        <w:tc>
          <w:tcPr>
            <w:tcW w:type="dxa" w:w="1560"/>
            <w:shd w:val="clear" w:color="auto" w:fill="EBF3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11.40 Meses</w:t>
            </w:r>
          </w:p>
        </w:tc>
        <w:tc>
          <w:tcPr>
            <w:tcW w:type="dxa" w:w="1560"/>
            <w:shd w:val="clear" w:color="auto" w:fill="EBF3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6.70 Personas</w:t>
            </w:r>
          </w:p>
        </w:tc>
        <w:tc>
          <w:tcPr>
            <w:tcW w:type="dxa" w:w="1560"/>
            <w:shd w:val="clear" w:color="auto" w:fill="EBF3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6 – 7 Desarrolladores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Orgánico [Comparativo]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 KLOC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49.92 PM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11.05 Meses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4.52 Personas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 – 5 Desarrolladores</w:t>
            </w:r>
          </w:p>
        </w:tc>
      </w:tr>
    </w:tbl>
    <w:p>
      <w:pPr>
        <w:keepNext/>
        <w:spacing w:before="280" w:after="100"/>
      </w:pPr>
      <w:r>
        <w:rPr>
          <w:rFonts w:ascii="Calibri" w:hAnsi="Calibri"/>
          <w:b/>
          <w:color w:val="1B365D"/>
          <w:sz w:val="26"/>
        </w:rPr>
        <w:t>4. Interpretación Técnica de Viabilidad Respecto al Tiempo del Cliente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Siguiendo fielmente la estructura del ejemplo de la empresa COTECNO analizado en clase, contrastamos el tiempo nominal empírico obtenido mediante COCOMO (11.40 meses) contra los horizontes temporales solicitados por clientes y directivos:</w:t>
      </w: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4.1. Escenario A: Entrega Solicitada en 3 Meses (Directamente Análogo al Ejemplo Docente)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Personal Requerido (Modo Medio): </w:t>
      </w:r>
      <w:r>
        <w:rPr>
          <w:rFonts w:ascii="Calibri" w:hAnsi="Calibri"/>
          <w:color w:val="282828"/>
          <w:sz w:val="20"/>
        </w:rPr>
        <w:t>NP = PM / Plazo = 76.39 / 3 = 25.46 desarrolladores. Para cubrir la totalidad del esfuerzo sin déficit (25 × 3 = 75 PM &lt; 76.39 PM), se requieren matemáticamente 26 desarrolladores a tiempo completo (26 × 3 = 78 PM).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Personal Requerido (Modo Orgánico): </w:t>
      </w:r>
      <w:r>
        <w:rPr>
          <w:rFonts w:ascii="Calibri" w:hAnsi="Calibri"/>
          <w:color w:val="282828"/>
          <w:sz w:val="20"/>
        </w:rPr>
        <w:t>NP = 49.92 / 3 = 16.64 desarrolladores (~17 desarrolladores a tiempo completo).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Dictamen de Viabilidad Técnica: </w:t>
      </w:r>
      <w:r>
        <w:rPr>
          <w:rFonts w:ascii="Calibri" w:hAnsi="Calibri"/>
          <w:color w:val="282828"/>
          <w:sz w:val="20"/>
        </w:rPr>
        <w:t>TÉCNICAMENTE INVIABLE. De acuerdo con los postulados empíricos de Boehm, no es posible comprimir un cronograma de desarrollo de software a menos del 75% de su tiempo nominal. Comprimir a 3 meses equivale a forzarlo al 26.3% del tiempo nominal (una reducción del 73.7%), situando al proyecto de lleno en la "Zona Imposible" y conduciendo al colapso organizacional.</w:t>
      </w: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4.2. Escenario B: Entrega Semestral Universitaria en 6 Meses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Personal Requerido (Modo Medio): </w:t>
      </w:r>
      <w:r>
        <w:rPr>
          <w:rFonts w:ascii="Calibri" w:hAnsi="Calibri"/>
          <w:color w:val="282828"/>
          <w:sz w:val="20"/>
        </w:rPr>
        <w:t>NP = PM / Plazo = 76.39 / 6 = 12.73 desarrolladores (~13 desarrolladores a tiempo completo).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Dictamen de Viabilidad Técnica: </w:t>
      </w:r>
      <w:r>
        <w:rPr>
          <w:rFonts w:ascii="Calibri" w:hAnsi="Calibri"/>
          <w:color w:val="282828"/>
          <w:sz w:val="20"/>
        </w:rPr>
        <w:t>INVIABLE BAJO ALCANCE TOTAL (ZONA IMPOSIBLE). Seis meses representa una compresión al 52.6% del tiempo nominal (11.40 meses), manteniéndose significativamente por debajo del umbral mínimo del 75% (8.55 meses). Intentar entregar el 100% del alcance en 6 meses duplicando la plantilla es inviable bajo COCOMO, a menos que se aplique una reducción formal del alcance del software.</w:t>
      </w: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4.3. Análisis Financiero de Honorarios Salariales del Equipo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Tomando como referencia el tabulador de $10,100.00 MXN mensuales por desarrollador estipulado en el ejemplo de la actividad, se proyecta la nómina salarial para cada alternativa: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Escenario de Plazo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Desarrolladores (NP)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Duración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Costo Mensual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Honorarios Totales (MXN)</w:t>
            </w:r>
          </w:p>
        </w:tc>
        <w:tc>
          <w:tcPr>
            <w:tcW w:type="dxa" w:w="1560"/>
            <w:shd w:val="clear" w:color="auto"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Factibilidad Técnica</w:t>
            </w:r>
          </w:p>
        </w:tc>
      </w:tr>
      <w:tr>
        <w:tc>
          <w:tcPr>
            <w:tcW w:type="dxa" w:w="1560"/>
            <w:shd w:val="clear" w:color="auto" w:fill="EBF3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Nominal Óptimo COCOMO</w:t>
            </w:r>
          </w:p>
        </w:tc>
        <w:tc>
          <w:tcPr>
            <w:tcW w:type="dxa" w:w="1560"/>
            <w:shd w:val="clear" w:color="auto" w:fill="EBF3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desarrolladores</w:t>
            </w:r>
          </w:p>
        </w:tc>
        <w:tc>
          <w:tcPr>
            <w:tcW w:type="dxa" w:w="1560"/>
            <w:shd w:val="clear" w:color="auto" w:fill="EBF3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11.40 Meses</w:t>
            </w:r>
          </w:p>
        </w:tc>
        <w:tc>
          <w:tcPr>
            <w:tcW w:type="dxa" w:w="1560"/>
            <w:shd w:val="clear" w:color="auto" w:fill="EBF3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$70,700.00 MXN</w:t>
            </w:r>
          </w:p>
        </w:tc>
        <w:tc>
          <w:tcPr>
            <w:tcW w:type="dxa" w:w="1560"/>
            <w:shd w:val="clear" w:color="auto" w:fill="EBF3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$805,980.00 MXN</w:t>
            </w:r>
          </w:p>
        </w:tc>
        <w:tc>
          <w:tcPr>
            <w:tcW w:type="dxa" w:w="1560"/>
            <w:shd w:val="clear" w:color="auto" w:fill="EBF3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Óptimo (Recomendado)</w:t>
            </w:r>
          </w:p>
        </w:tc>
      </w:tr>
      <w:tr>
        <w:tc>
          <w:tcPr>
            <w:tcW w:type="dxa" w:w="1560"/>
            <w:shd w:val="clear" w:color="auto"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Semestre Universitario</w:t>
            </w:r>
          </w:p>
        </w:tc>
        <w:tc>
          <w:tcPr>
            <w:tcW w:type="dxa" w:w="1560"/>
            <w:shd w:val="clear" w:color="auto"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desarrolladores</w:t>
            </w:r>
          </w:p>
        </w:tc>
        <w:tc>
          <w:tcPr>
            <w:tcW w:type="dxa" w:w="1560"/>
            <w:shd w:val="clear" w:color="auto"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6.00 Meses</w:t>
            </w:r>
          </w:p>
        </w:tc>
        <w:tc>
          <w:tcPr>
            <w:tcW w:type="dxa" w:w="1560"/>
            <w:shd w:val="clear" w:color="auto"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$131,300.00 MXN</w:t>
            </w:r>
          </w:p>
        </w:tc>
        <w:tc>
          <w:tcPr>
            <w:tcW w:type="dxa" w:w="1560"/>
            <w:shd w:val="clear" w:color="auto"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$787,800.00 MXN</w:t>
            </w:r>
          </w:p>
        </w:tc>
        <w:tc>
          <w:tcPr>
            <w:tcW w:type="dxa" w:w="1560"/>
            <w:shd w:val="clear" w:color="auto"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Zona Imposible (Inviable)</w:t>
            </w:r>
          </w:p>
        </w:tc>
      </w:tr>
      <w:tr>
        <w:tc>
          <w:tcPr>
            <w:tcW w:type="dxa" w:w="15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Acelerado (3 Meses - Ejemplo)</w:t>
            </w:r>
          </w:p>
        </w:tc>
        <w:tc>
          <w:tcPr>
            <w:tcW w:type="dxa" w:w="15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 desarrolladores</w:t>
            </w:r>
          </w:p>
        </w:tc>
        <w:tc>
          <w:tcPr>
            <w:tcW w:type="dxa" w:w="15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3.00 Meses</w:t>
            </w:r>
          </w:p>
        </w:tc>
        <w:tc>
          <w:tcPr>
            <w:tcW w:type="dxa" w:w="15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$262,600.00 MXN</w:t>
            </w:r>
          </w:p>
        </w:tc>
        <w:tc>
          <w:tcPr>
            <w:tcW w:type="dxa" w:w="15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$787,800.00 MXN</w:t>
            </w:r>
          </w:p>
        </w:tc>
        <w:tc>
          <w:tcPr>
            <w:tcW w:type="dxa" w:w="15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Inviable Total (Colapso)</w:t>
            </w:r>
          </w:p>
        </w:tc>
      </w:tr>
    </w:tbl>
    <w:p>
      <w:pPr>
        <w:spacing w:line="276" w:lineRule="auto" w:after="100"/>
        <w:jc w:val="both"/>
      </w:pPr>
      <w:r>
        <w:rPr>
          <w:rFonts w:ascii="Calibri" w:hAnsi="Calibri"/>
          <w:b/>
          <w:color w:val="1E1E1E"/>
          <w:sz w:val="20"/>
        </w:rPr>
        <w:t xml:space="preserve">• Nota analítica: </w:t>
      </w:r>
      <w:r>
        <w:rPr>
          <w:rFonts w:ascii="Calibri" w:hAnsi="Calibri"/>
          <w:color w:val="282828"/>
          <w:sz w:val="20"/>
        </w:rPr>
        <w:t>El costo laboral nominal estricto derivado de COCOMO es de 76.39 PM × $10,100 = $771,538.82 MXN. Las ligeras diferencias en los totales de la tabla obedecen al redondeo a números enteros discretos de personal (26 personas en 3 meses = $787,800 MXN; 7 personas en 11.4 meses = $805,980 MXN). Cualitativamente, pagar a 26 desarrolladores en un plazo tan comprimido genera un desperdicio económico severo, pues la mayor parte del tiempo pagado se consume en fricciones de coordinación y retrabajo.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26"/>
        </w:rPr>
        <w:t>5. Reflexión Técnica: ¿Cómo Cambia el Proyecto al Modificar el Personal?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Una premisa errónea habitual en clientes no técnicos es asumir que el esfuerzo (Personas-Mes) se puede fraccionar arbitrariamente dividiendo entre el número de desarrolladores (la falacia del "Hombre-Mes"). La ingeniería de software demuestra que alterar el personal transforma críticamente la dinámica del proyecto:</w:t>
      </w: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5.1. El Mito del Hombre-Mes y el Crecimiento Cuadrático de Canales de Comunicación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Frederick Brooks (1975) demostró que las personas y los meses no son magnitudes intercambiables: asignar 26 desarrolladores no reduce proporcionalmente el tiempo. Los canales de comunicación bilateral crecen de forma estrictamente cuadrática mediante la fórmula combinatoria: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2E9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C0392B"/>
              <w:top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/>
            <w:r>
              <w:rPr>
                <w:rFonts w:ascii="Calibri" w:hAnsi="Calibri"/>
                <w:b/>
                <w:color w:val="1B365D"/>
                <w:sz w:val="20"/>
              </w:rPr>
              <w:t>CRECIMIENTO CUADRÁTICO DE CANALES DE COMUNICACIÓN: C = [ N · (N - 1) ] / 2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• Equipo Nominal (N = 7): </w:t>
            </w:r>
            <w:r>
              <w:rPr>
                <w:rFonts w:ascii="Calibri" w:hAnsi="Calibri"/>
                <w:color w:val="323232"/>
                <w:sz w:val="19"/>
              </w:rPr>
              <w:t>C = (7 · 6) / 2 = 21 canales de comunicación.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• Equipo Semestral (N = 13): </w:t>
            </w:r>
            <w:r>
              <w:rPr>
                <w:rFonts w:ascii="Calibri" w:hAnsi="Calibri"/>
                <w:color w:val="323232"/>
                <w:sz w:val="19"/>
              </w:rPr>
              <w:t>C = (13 · 12) / 2 = 78 canales (+271% de sobrecarga).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• Equipo Forzado a 3 Meses (N = 26): </w:t>
            </w:r>
            <w:r>
              <w:rPr>
                <w:rFonts w:ascii="Calibri" w:hAnsi="Calibri"/>
                <w:color w:val="323232"/>
                <w:sz w:val="19"/>
              </w:rPr>
              <w:t>C = (26 · 25) / 2 = 325 canales (+1,448% de sobrecarga) [o 300 canales para N = 25].</w:t>
            </w:r>
          </w:p>
          <w:p>
            <w:pPr>
              <w:spacing w:line="276" w:lineRule="auto" w:after="60"/>
            </w:pPr>
            <w:r>
              <w:rPr>
                <w:rFonts w:ascii="Calibri" w:hAnsi="Calibri"/>
                <w:b/>
                <w:color w:val="2C3E50"/>
                <w:sz w:val="19"/>
              </w:rPr>
              <w:t xml:space="preserve">Impacto Operativo: </w:t>
            </w:r>
            <w:r>
              <w:rPr>
                <w:rFonts w:ascii="Calibri" w:hAnsi="Calibri"/>
                <w:color w:val="323232"/>
                <w:sz w:val="19"/>
              </w:rPr>
              <w:t>Al saltar de 21 a 325 canales, la jornada laboral se satura en reuniones de sincronización, conflictos de integración en Git y debates arquitectónicos. Si el proyecto se retrasa e intentan sumar personal, se activa la temida Ley de Brooks: "Añadir personal a un proyecto retrasado solo lo retrasa más".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5.2. Curva de Aprendizaje y Costo de Onboarding en Equipos Universitarios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El caso señala que el equipo tiene "experiencia media". De acuerdo con la literatura de ingeniería de software sobre asimilación técnica (Pressman &amp; Maxim, 2020; Sommerville, 2016), en proyectos urgentes con equipos no sénior, el periodo de inducción y acoplamiento (ramp-up) consume entre el 30% y el 50% de la ventana temporal disponible: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282828"/>
          <w:sz w:val="20"/>
        </w:rPr>
        <w:t>Los desarrolladores más capacitados que diseñaron la base de datos relacional y la seguridad RBAC deben detener su trabajo de programación para capacitar a los nuevos integrantes.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282828"/>
          <w:sz w:val="20"/>
        </w:rPr>
        <w:t>La productividad grupal sufre una caída inmediata (el denominado valle de productividad o curva en J).</w:t>
      </w: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5.3. El Límite Infranqueable de Compresión (The Impossible Region de Boehm)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Los estudios empíricos de Boehm demostraron que ningún proyecto de software puede comprimirse a menos del 75% del tiempo nominal de desarrollo (TDEV_mín ≈ 0.75 · TDEV):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Límite mínimo para Modo Medio: TDEV_mín = 0.75 · 11.40 Meses = 8.55 Meses.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Límite mínimo para Modo Orgánico: TDEV_mín = 0.75 · 11.05 Meses = 8.29 Meses.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Cualquier intento de forzar la entrega en 3 o 6 meses traspasa la frontera hacia la "Zona Imposible", produciendo sistemas con código frágil, pruebas omitidas y graves riesgos de seguridad en expedientes clínicos.</w:t>
      </w:r>
    </w:p>
    <w:p>
      <w:pPr>
        <w:keepNext/>
        <w:spacing w:before="200" w:after="60"/>
      </w:pPr>
      <w:r>
        <w:rPr>
          <w:rFonts w:ascii="Calibri" w:hAnsi="Calibri"/>
          <w:b/>
          <w:color w:val="2C3E50"/>
          <w:sz w:val="22"/>
        </w:rPr>
        <w:t>5.4. Dependencias Secuenciales y Ley de Amdahl</w:t>
      </w:r>
    </w:p>
    <w:p>
      <w:pPr>
        <w:spacing w:line="276" w:lineRule="auto" w:after="100"/>
        <w:jc w:val="both"/>
      </w:pPr>
      <w:r>
        <w:rPr>
          <w:rFonts w:ascii="Calibri" w:hAnsi="Calibri"/>
          <w:color w:val="282828"/>
          <w:sz w:val="20"/>
        </w:rPr>
        <w:t>El software posee dependencias de precedencia ineludibles: no es posible paralelizar el desarrollo de las 20 pantallas si el esquema de base de datos de las 10 entidades no está normalizado y probado; y no se puede implementar el expediente clínico sin tener antes la autenticación y el registro de pacientes. Como establece la Ley de Amdahl, la velocidad de ejecución está limitada por la fracción estrictamente secuencial de las tareas.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26"/>
        </w:rPr>
        <w:t>6. Conclusiones Técnicas y Recomendaciones de Gestión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1. Validez del Modelo Cuantitativo: </w:t>
      </w:r>
      <w:r>
        <w:rPr>
          <w:rFonts w:ascii="Calibri" w:hAnsi="Calibri"/>
          <w:color w:val="282828"/>
          <w:sz w:val="20"/>
        </w:rPr>
        <w:t>Para un tamaño de 18 KLOC con un equipo universitario de experiencia media, el modelo COCOMO Básico proyecta formalmente 76.39 persona-mes, una duración óptima de 11.40 meses y una dotación de 6 a 7 desarrolladores a tiempo completo.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2. Rechazo al Enfoque de Fuerza Bruta: </w:t>
      </w:r>
      <w:r>
        <w:rPr>
          <w:rFonts w:ascii="Calibri" w:hAnsi="Calibri"/>
          <w:color w:val="282828"/>
          <w:sz w:val="20"/>
        </w:rPr>
        <w:t>Aceptar una entrega en 3 meses contratando a 26 desarrolladores es un error metodológico crítico. La sobrecarga cuadrática de 325 canales de comunicación y la curva de aprendizaje paralizarán el avance.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3. Propuesta de Solución: Estrategia por Fases (MVP Ágil con Respaldo Matemático COCOMO): </w:t>
      </w:r>
      <w:r>
        <w:rPr>
          <w:rFonts w:ascii="Calibri" w:hAnsi="Calibri"/>
          <w:color w:val="282828"/>
          <w:sz w:val="20"/>
        </w:rPr>
        <w:t>Si la clínica universitaria necesita obligatoriamente resultados en 3 meses, la solución profesional de ingeniería es reducir el alcance inicial manteniendo un equipo estable de 4 desarrolladores: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   • Respaldo Matemático de Capacidad en 3 Meses: </w:t>
      </w:r>
      <w:r>
        <w:rPr>
          <w:rFonts w:ascii="Calibri" w:hAnsi="Calibri"/>
          <w:color w:val="282828"/>
          <w:sz w:val="20"/>
        </w:rPr>
        <w:t>Un equipo de 4 personas trabajando 3 meses genera PM_MVP = 4 × 3 = 12 PM. Invirtiendo la fórmula de COCOMO Semiacoplado (PM = 3.00 · KLOC^1.12), se obtiene KLOC_MVP = (12 / 3.00)^(1 / 1.12) = 4^0.8928 ≈ 3.45 KLOC. Esto valida que en 3 meses es matemáticamente viable construir un MVP con ~3.5 KLOC (~20% del sistema).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   • Fase 1 (MVP en 3 Meses | ~3.5 KLOC | 4 desarrolladores): </w:t>
      </w:r>
      <w:r>
        <w:rPr>
          <w:rFonts w:ascii="Calibri" w:hAnsi="Calibri"/>
          <w:color w:val="282828"/>
          <w:sz w:val="20"/>
        </w:rPr>
        <w:t>Módulos de Pacientes, Citas Médicas (registro, reprogramación, cancelación, lista de espera), Usuarios/Roles (autenticación básica) y migración de los 2,000 registros de Excel. Resuelve de inmediato los tiempos de espera y el desorden de agendas en mostrador.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   • Fase 2 (Plataforma Integral en Meses 4 a 9 | ~14.5 KLOC | 4 a 5 desarrolladores): </w:t>
      </w:r>
      <w:r>
        <w:rPr>
          <w:rFonts w:ascii="Calibri" w:hAnsi="Calibri"/>
          <w:color w:val="282828"/>
          <w:sz w:val="20"/>
        </w:rPr>
        <w:t>Expediente clínico digital completo (signos vitales, recetas, antecedentes, adjuntos), consumo de la API de recordatorios por SMS/correo (resolviendo de fondo el ausentismo o no-show) y el módulo de Reportes Mensuales y Gerenciales (productividad médica y exportación a PDF/CSV).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4. Utilidad Estratégica de COCOMO: </w:t>
      </w:r>
      <w:r>
        <w:rPr>
          <w:rFonts w:ascii="Calibri" w:hAnsi="Calibri"/>
          <w:color w:val="282828"/>
          <w:sz w:val="20"/>
        </w:rPr>
        <w:t>Este modelo matemático dota al líder técnico de un fundamento objetivo y científico para negociar con los directivos institucionales, demostrando que la calidad del software médico y la seguridad de los pacientes no pueden comprometerse por plazos comerciales arbitrarios.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26"/>
        </w:rPr>
        <w:t>7. Referencias Bibliográficas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Boehm, B. W. (1981). Software Engineering Economics. Prentice-Hall.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Brooks, F. P. (1975). The Mythical Man-Month: Essays on Software Engineering. Addison-Wesley.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Navarro Salcedo, G. (2026). Ecuaciones y Coeficientes del Modelo COCOMO Básico. Presentación de la Cátedra de Ingeniería de Software.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Pressman, R. S., &amp; Maxim, B. R. (2020). Software Engineering: A Practitioner's Approach (9th ed.). McGraw-Hill Education.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1E1E1E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Sommerville, I. (2016). Software Engineering (10th ed.). Pearson Education.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