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26"/>
        </w:rPr>
        <w:t>UNIVERSIDAD DE GUADALAJARA</w:t>
        <w:br/>
      </w:r>
      <w:r>
        <w:rPr>
          <w:rFonts w:ascii="Calibri" w:hAnsi="Calibri"/>
          <w:color w:val="4A5568"/>
          <w:sz w:val="19"/>
        </w:rPr>
        <w:t>Centro Universitario de Tonalá · Licenciatura en Ingeniería en Computación</w:t>
        <w:br/>
        <w:t>Administración de Proyectos de Software · Cátedra: Dr. Gabriel Navarro Salcedo</w:t>
      </w:r>
    </w:p>
    <w:p>
      <w:pPr>
        <w:spacing w:before="240" w:after="40"/>
      </w:pPr>
      <w:r>
        <w:rPr>
          <w:rFonts w:ascii="Calibri" w:hAnsi="Calibri"/>
          <w:b/>
          <w:color w:val="1B365D"/>
          <w:sz w:val="32"/>
        </w:rPr>
        <w:t>Actividad 2.3: Tabla comparativa de estimación del proyecto</w:t>
      </w:r>
    </w:p>
    <w:p>
      <w:pPr>
        <w:spacing w:before="0" w:after="200"/>
      </w:pPr>
      <w:r>
        <w:rPr>
          <w:rFonts w:ascii="Calibri" w:hAnsi="Calibri"/>
          <w:i/>
          <w:color w:val="4A5568"/>
          <w:sz w:val="22"/>
        </w:rPr>
        <w:t>Evaluación y contraste de metodologías: Presupuesto inicial (WBS), COCOMO básico y COCOMO intermedio</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484"/>
            <w:shd w:fill="F8FAFC"/>
            <w:tcMar>
              <w:top w:w="80" w:type="dxa"/>
              <w:bottom w:w="80" w:type="dxa"/>
              <w:left w:w="100" w:type="dxa"/>
              <w:right w:w="100" w:type="dxa"/>
            </w:tcMar>
          </w:tcPr>
          <w:p>
            <w:pPr>
              <w:spacing w:after="0"/>
            </w:pPr>
            <w:r>
              <w:rPr>
                <w:b/>
                <w:color w:val="1B365D"/>
                <w:sz w:val="17"/>
              </w:rPr>
              <w:t xml:space="preserve">Proyecto: </w:t>
            </w:r>
            <w:r>
              <w:rPr>
                <w:color w:val="1A202C"/>
                <w:sz w:val="17"/>
              </w:rPr>
              <w:t>Monchis Café (Web &amp; POS)</w:t>
            </w:r>
          </w:p>
        </w:tc>
        <w:tc>
          <w:tcPr>
            <w:tcW w:type="dxa" w:w="2484"/>
            <w:shd w:fill="F8FAFC"/>
            <w:tcMar>
              <w:top w:w="80" w:type="dxa"/>
              <w:bottom w:w="80" w:type="dxa"/>
              <w:left w:w="100" w:type="dxa"/>
              <w:right w:w="100" w:type="dxa"/>
            </w:tcMar>
          </w:tcPr>
          <w:p>
            <w:pPr>
              <w:spacing w:after="0"/>
            </w:pPr>
            <w:r>
              <w:rPr>
                <w:b/>
                <w:color w:val="1B365D"/>
                <w:sz w:val="17"/>
              </w:rPr>
              <w:t xml:space="preserve">Alumno: </w:t>
            </w:r>
            <w:r>
              <w:rPr>
                <w:color w:val="1A202C"/>
                <w:sz w:val="17"/>
              </w:rPr>
              <w:t>Ernesto Fierro Meléndez</w:t>
            </w:r>
          </w:p>
        </w:tc>
        <w:tc>
          <w:tcPr>
            <w:tcW w:type="dxa" w:w="2484"/>
            <w:shd w:fill="F8FAFC"/>
            <w:tcMar>
              <w:top w:w="80" w:type="dxa"/>
              <w:bottom w:w="80" w:type="dxa"/>
              <w:left w:w="100" w:type="dxa"/>
              <w:right w:w="100" w:type="dxa"/>
            </w:tcMar>
          </w:tcPr>
          <w:p>
            <w:pPr>
              <w:spacing w:after="0"/>
            </w:pPr>
            <w:r>
              <w:rPr>
                <w:b/>
                <w:color w:val="1B365D"/>
                <w:sz w:val="17"/>
              </w:rPr>
              <w:t xml:space="preserve">Docente: </w:t>
            </w:r>
            <w:r>
              <w:rPr>
                <w:color w:val="1A202C"/>
                <w:sz w:val="17"/>
              </w:rPr>
              <w:t>Dr. Gabriel Navarro Salcedo</w:t>
            </w:r>
          </w:p>
        </w:tc>
        <w:tc>
          <w:tcPr>
            <w:tcW w:type="dxa" w:w="2484"/>
            <w:shd w:fill="F8FAFC"/>
            <w:tcMar>
              <w:top w:w="80" w:type="dxa"/>
              <w:bottom w:w="80" w:type="dxa"/>
              <w:left w:w="100" w:type="dxa"/>
              <w:right w:w="100" w:type="dxa"/>
            </w:tcMar>
          </w:tcPr>
          <w:p>
            <w:pPr>
              <w:spacing w:after="0"/>
            </w:pPr>
            <w:r>
              <w:rPr>
                <w:b/>
                <w:color w:val="1B365D"/>
                <w:sz w:val="17"/>
              </w:rPr>
              <w:t xml:space="preserve">Ciclo / Ponderación: </w:t>
            </w:r>
            <w:r>
              <w:rPr>
                <w:color w:val="1A202C"/>
                <w:sz w:val="17"/>
              </w:rPr>
              <w:t>2026-B · 2 Puntos (2%)</w:t>
            </w:r>
          </w:p>
        </w:tc>
      </w:tr>
      <w:tr>
        <w:tc>
          <w:tcPr>
            <w:tcW w:type="dxa" w:w="2484"/>
            <w:shd w:fill="F8FAFC"/>
            <w:tcMar>
              <w:top w:w="80" w:type="dxa"/>
              <w:bottom w:w="80" w:type="dxa"/>
              <w:left w:w="100" w:type="dxa"/>
              <w:right w:w="100" w:type="dxa"/>
            </w:tcMar>
          </w:tcPr>
          <w:p>
            <w:pPr>
              <w:spacing w:after="0"/>
            </w:pPr>
            <w:r>
              <w:rPr>
                <w:b/>
                <w:color w:val="1B365D"/>
                <w:sz w:val="17"/>
              </w:rPr>
              <w:t xml:space="preserve">Tamaño de software: </w:t>
            </w:r>
            <w:r>
              <w:rPr>
                <w:color w:val="1A202C"/>
                <w:sz w:val="17"/>
              </w:rPr>
              <w:t>22.5 KLOC (descomposición)</w:t>
            </w:r>
          </w:p>
        </w:tc>
        <w:tc>
          <w:tcPr>
            <w:tcW w:type="dxa" w:w="2484"/>
            <w:shd w:fill="F8FAFC"/>
            <w:tcMar>
              <w:top w:w="80" w:type="dxa"/>
              <w:bottom w:w="80" w:type="dxa"/>
              <w:left w:w="100" w:type="dxa"/>
              <w:right w:w="100" w:type="dxa"/>
            </w:tcMar>
          </w:tcPr>
          <w:p>
            <w:pPr>
              <w:spacing w:after="0"/>
            </w:pPr>
            <w:r>
              <w:rPr>
                <w:b/>
                <w:color w:val="1B365D"/>
                <w:sz w:val="17"/>
              </w:rPr>
              <w:t xml:space="preserve">Modo COCOMO: </w:t>
            </w:r>
            <w:r>
              <w:rPr>
                <w:color w:val="1A202C"/>
                <w:sz w:val="17"/>
              </w:rPr>
              <w:t>Semiacoplado (Semidetached)</w:t>
            </w:r>
          </w:p>
        </w:tc>
        <w:tc>
          <w:tcPr>
            <w:tcW w:type="dxa" w:w="2484"/>
            <w:shd w:fill="F8FAFC"/>
            <w:tcMar>
              <w:top w:w="80" w:type="dxa"/>
              <w:bottom w:w="80" w:type="dxa"/>
              <w:left w:w="100" w:type="dxa"/>
              <w:right w:w="100" w:type="dxa"/>
            </w:tcMar>
          </w:tcPr>
          <w:p>
            <w:pPr>
              <w:spacing w:after="0"/>
            </w:pPr>
            <w:r>
              <w:rPr>
                <w:b/>
                <w:color w:val="1B365D"/>
                <w:sz w:val="17"/>
              </w:rPr>
              <w:t xml:space="preserve">Horizonte planeado: </w:t>
            </w:r>
            <w:r>
              <w:rPr>
                <w:color w:val="1A202C"/>
                <w:sz w:val="17"/>
              </w:rPr>
              <w:t>16 semanas (4.0 meses)</w:t>
            </w:r>
          </w:p>
        </w:tc>
        <w:tc>
          <w:tcPr>
            <w:tcW w:type="dxa" w:w="2484"/>
            <w:shd w:fill="F8FAFC"/>
            <w:tcMar>
              <w:top w:w="80" w:type="dxa"/>
              <w:bottom w:w="80" w:type="dxa"/>
              <w:left w:w="100" w:type="dxa"/>
              <w:right w:w="100" w:type="dxa"/>
            </w:tcMar>
          </w:tcPr>
          <w:p>
            <w:pPr>
              <w:spacing w:after="0"/>
            </w:pPr>
            <w:r>
              <w:rPr>
                <w:b/>
                <w:color w:val="1B365D"/>
                <w:sz w:val="17"/>
              </w:rPr>
              <w:t xml:space="preserve">Fecha de entrega: </w:t>
            </w:r>
            <w:r>
              <w:rPr>
                <w:color w:val="1A202C"/>
                <w:sz w:val="17"/>
              </w:rPr>
              <w:t>Octubre de 2026</w:t>
            </w:r>
          </w:p>
        </w:tc>
      </w:tr>
    </w:tbl>
    <w:p>
      <w:pPr>
        <w:spacing w:after="80"/>
      </w:pPr>
    </w:p>
    <w:p>
      <w:pPr>
        <w:spacing w:before="80" w:after="200"/>
        <w:ind w:left="288" w:right="288"/>
      </w:pPr>
      <w:r>
        <w:rPr>
          <w:b/>
          <w:color w:val="1B365D"/>
          <w:sz w:val="19"/>
        </w:rPr>
        <w:t xml:space="preserve">Objetivo general: </w:t>
      </w:r>
      <w:r>
        <w:rPr>
          <w:sz w:val="19"/>
        </w:rPr>
        <w:t>Evaluar y comparar cuantitativa y técnicamente tres métodos de estimación aplicados al proyecto Monchis Café: (1) el presupuesto inicial analítico (WBS / Bottom-Up) elaborado sobre la estructura de propuesta de presupuesto de Smartsheet, (2) el modelo paramétrico COCOMO básico (Boehm, 1981; Navarro Salcedo, 2026), y (3) el modelo COCOMO intermedio con 15 conductores de coste. El análisis concluye con la selección fundamentada del método más idóneo para la viabilidad contractual y de ingeniería del sistema.</w:t>
      </w:r>
    </w:p>
    <w:p>
      <w:pPr>
        <w:keepNext/>
        <w:spacing w:before="280" w:after="80"/>
      </w:pPr>
      <w:r>
        <w:rPr>
          <w:rFonts w:ascii="Calibri" w:hAnsi="Calibri"/>
          <w:b/>
          <w:color w:val="1B365D"/>
          <w:sz w:val="26"/>
        </w:rPr>
        <w:t>1. Contexto del proyecto y dimensionamiento del software</w:t>
      </w:r>
    </w:p>
    <w:p>
      <w:pPr>
        <w:spacing w:after="80"/>
      </w:pPr>
      <w:r>
        <w:t>Monchis Café es una plataforma web integral de comercio electrónico y Punto de Venta (POS) en barra diseñada para una cafetería de especialidad enfocada en productos orgánicos de comercio justo. El sistema opera sobre una arquitectura monorepo distribuida y orientada a eventos para garantizar la resiliencia en los cobros y pedidos de mostrador:</w:t>
      </w:r>
    </w:p>
    <w:p>
      <w:pPr>
        <w:pStyle w:val="ListBullet"/>
        <w:spacing w:after="40"/>
      </w:pPr>
      <w:r>
        <w:rPr>
          <w:b/>
        </w:rPr>
        <w:t xml:space="preserve">Frontend Web y POS de mostrador: </w:t>
      </w:r>
      <w:r>
        <w:t>Desarrollado en Vue 3 con Pinia, prerenderizado estático mediante vite-ssg para optimización SEO en catálogo público, módulo de personalización de bebidas y panel táctil ágil de caja.</w:t>
      </w:r>
    </w:p>
    <w:p>
      <w:pPr>
        <w:pStyle w:val="ListBullet"/>
        <w:spacing w:after="40"/>
      </w:pPr>
      <w:r>
        <w:rPr>
          <w:b/>
        </w:rPr>
        <w:t xml:space="preserve">Backend y capa transaccional: </w:t>
      </w:r>
      <w:r>
        <w:t>API modular en Next.js y Node.js con autenticación stateless mediante JWT rotativo en cookies httpOnly seguras, autorización por roles (RBAC) y persistencia relacional con PostgreSQL vía Prisma ORM.</w:t>
      </w:r>
    </w:p>
    <w:p>
      <w:pPr>
        <w:pStyle w:val="ListBullet"/>
        <w:spacing w:after="40"/>
      </w:pPr>
      <w:r>
        <w:rPr>
          <w:b/>
        </w:rPr>
        <w:t xml:space="preserve">Orquestación distribuida y mensajería: </w:t>
      </w:r>
      <w:r>
        <w:t>Gestión asíncrona de órdenes y transacciones mediante el Patrón Saga orquestado en RabbitMQ (topic exchange cafeteria.events), incorporando colas con reintentos progresivos y colas de descarte (Dead Letter Queue - DLQ).</w:t>
      </w:r>
    </w:p>
    <w:p>
      <w:pPr>
        <w:pStyle w:val="ListBullet"/>
        <w:spacing w:after="40"/>
      </w:pPr>
      <w:r>
        <w:rPr>
          <w:b/>
        </w:rPr>
        <w:t xml:space="preserve">Módulo de fidelización y trazabilidad: </w:t>
      </w:r>
      <w:r>
        <w:t>Pasaporte digital QR para consultar el origen y lote de las fincas cafetaleras asociadas y control de beneficios por vaso reutilizable (-$5 MXN).</w:t>
      </w:r>
    </w:p>
    <w:p>
      <w:pPr>
        <w:keepNext/>
        <w:spacing w:before="200" w:after="60"/>
      </w:pPr>
      <w:r>
        <w:rPr>
          <w:rFonts w:ascii="Calibri" w:hAnsi="Calibri"/>
          <w:b/>
          <w:color w:val="4A5568"/>
          <w:sz w:val="22"/>
        </w:rPr>
        <w:t>1.1. Justificación del tamaño del software (22.5 KLOC)</w:t>
      </w:r>
    </w:p>
    <w:p>
      <w:pPr>
        <w:spacing w:after="80"/>
      </w:pPr>
      <w:r>
        <w:t>El tamaño estimado para el desarrollo nuevo del sistema se estableció en 22,500 líneas de código fuente (22.5 KLOC). Esta cifra se determinó mediante la técnica formal de descomposición por módulos (Pressman &amp; Maxim, 2020), contrastando los componentes funcionales requeridos con la densidad de código promedio esperada en el stack seleccionado:</w:t>
      </w:r>
    </w:p>
    <w:p>
      <w:pPr>
        <w:pStyle w:val="ListBullet"/>
        <w:spacing w:after="40"/>
      </w:pPr>
      <w:r>
        <w:rPr>
          <w:b/>
        </w:rPr>
        <w:t xml:space="preserve">Frontend (Vue 3, Pinia, vite-ssg) — ~8.5 KLOC: </w:t>
      </w:r>
      <w:r>
        <w:t>Comprende unas 25 vistas y componentes interactivos (panel táctil de caja POS, selector interactivo de bebidas con siropes/leches, catálogo comercial, carrito de compra, resumen de caja y store global de estado en Pinia). Equivale a un promedio de ~340 líneas por componente/vista.</w:t>
      </w:r>
    </w:p>
    <w:p>
      <w:pPr>
        <w:pStyle w:val="ListBullet"/>
        <w:spacing w:after="40"/>
      </w:pPr>
      <w:r>
        <w:rPr>
          <w:b/>
        </w:rPr>
        <w:t xml:space="preserve">Backend y servicios de negocio (Next.js, TypeScript) — ~7.0 KLOC: </w:t>
      </w:r>
      <w:r>
        <w:t>Comprende unos 18 endpoints REST y route handlers (procesamiento de pedidos, cobros, inventario, usuarios, autenticación y auditoría), middlewares de seguridad y esquemas de validación estricta con Zod. Equivale a un promedio de ~390 líneas por endpoint/servicio.</w:t>
      </w:r>
    </w:p>
    <w:p>
      <w:pPr>
        <w:pStyle w:val="ListBullet"/>
        <w:spacing w:after="40"/>
      </w:pPr>
      <w:r>
        <w:rPr>
          <w:b/>
        </w:rPr>
        <w:t xml:space="preserve">Persistencia y mensajería (Prisma ORM, RabbitMQ) — ~3.5 KLOC: </w:t>
      </w:r>
      <w:r>
        <w:t>Modelado relacional en PostgreSQL con Prisma Schema, scripts de migración, seeders y la implementación del Patrón Saga (productores de eventos, consumidores, colas de retardo y reversas automáticas ante falta de insumos).</w:t>
      </w:r>
    </w:p>
    <w:p>
      <w:pPr>
        <w:pStyle w:val="ListBullet"/>
        <w:spacing w:after="40"/>
      </w:pPr>
      <w:r>
        <w:rPr>
          <w:b/>
        </w:rPr>
        <w:t xml:space="preserve">Pruebas automatizadas y DevOps — ~3.5 KLOC: </w:t>
      </w:r>
      <w:r>
        <w:t>Baterías de pruebas unitarias con Vitest, pruebas de integración de API, flujos end-to-end críticos con Playwright, Dockerfiles multicapa y configuración de workflows de CI/CD.</w:t>
      </w:r>
    </w:p>
    <w:p>
      <w:pPr>
        <w:spacing w:before="40" w:after="120"/>
      </w:pPr>
      <w:r>
        <w:rPr>
          <w:i/>
          <w:color w:val="718096"/>
          <w:sz w:val="18"/>
        </w:rPr>
        <w:t>Nota sobre el alcance de KLOC: En la literatura clásica de COCOMO se consideran estrictamente líneas de código entregable. Si el equipo o el auditor optaran por excluir las 3.5 KLOC de pruebas automatizadas y scripts de infraestructura DevOps, el tamaño base del aplicativo central se situaría en 19.0 KLOC entregables.</w:t>
      </w:r>
    </w:p>
    <w:p>
      <w:pPr>
        <w:keepNext/>
        <w:spacing w:before="280" w:after="80"/>
      </w:pPr>
      <w:r>
        <w:rPr>
          <w:rFonts w:ascii="Calibri" w:hAnsi="Calibri"/>
          <w:b/>
          <w:color w:val="1B365D"/>
          <w:sz w:val="26"/>
        </w:rPr>
        <w:t>2. Método 1: Presupuesto inicial (WBS / Bottom-Up)</w:t>
      </w:r>
    </w:p>
    <w:p>
      <w:pPr>
        <w:spacing w:after="80"/>
      </w:pPr>
      <w:r>
        <w:t>El presupuesto formal del proyecto se diseñó utilizando como referencia la estructura de propuesta de presupuesto de proyectos de Smartsheet (Smartsheet Inc., s. f.), siguiendo los estándares de descomposición analítica del trabajo del Project Management Institute (PMI, 2019). Este método ascendente (Bottom-Up) parte del detalle de actividades y recursos para construir el costo integral:</w:t>
      </w:r>
    </w:p>
    <w:tbl>
      <w:tblPr>
        <w:tblW w:type="auto" w:w="0"/>
        <w:jc w:val="center"/>
        <w:tblLook w:firstColumn="1" w:firstRow="1" w:lastColumn="0" w:lastRow="0" w:noHBand="0" w:noVBand="1" w:val="04A0"/>
        <w:tblBorders>
          <w:top w:val="single" w:sz="4" w:space="0" w:color="1B365D"/>
          <w:bottom w:val="single" w:sz="4" w:space="0" w:color="1B365D"/>
          <w:left w:val="none"/>
          <w:right w:val="none"/>
          <w:insideH w:val="single" w:sz="4" w:space="0" w:color="1B365D"/>
          <w:insideV w:val="none"/>
        </w:tblBorders>
      </w:tblPr>
      <w:tblGrid>
        <w:gridCol w:w="2484"/>
        <w:gridCol w:w="2484"/>
        <w:gridCol w:w="2484"/>
        <w:gridCol w:w="2484"/>
      </w:tblGrid>
      <w:tr>
        <w:tc>
          <w:tcPr>
            <w:tcW w:type="dxa" w:w="2484"/>
            <w:shd w:fill="1B365D"/>
            <w:tcMar>
              <w:top w:w="100" w:type="dxa"/>
              <w:bottom w:w="100" w:type="dxa"/>
              <w:left w:w="100" w:type="dxa"/>
              <w:right w:w="100" w:type="dxa"/>
            </w:tcMar>
          </w:tcPr>
          <w:p>
            <w:pPr>
              <w:spacing w:after="0"/>
            </w:pPr>
            <w:r>
              <w:rPr>
                <w:b/>
                <w:color w:val="FFFFFF"/>
                <w:sz w:val="17"/>
              </w:rPr>
              <w:t>WBS</w:t>
            </w:r>
          </w:p>
        </w:tc>
        <w:tc>
          <w:tcPr>
            <w:tcW w:type="dxa" w:w="2484"/>
            <w:shd w:fill="1B365D"/>
            <w:tcMar>
              <w:top w:w="100" w:type="dxa"/>
              <w:bottom w:w="100" w:type="dxa"/>
              <w:left w:w="100" w:type="dxa"/>
              <w:right w:w="100" w:type="dxa"/>
            </w:tcMar>
          </w:tcPr>
          <w:p>
            <w:pPr>
              <w:spacing w:after="0"/>
            </w:pPr>
            <w:r>
              <w:rPr>
                <w:b/>
                <w:color w:val="FFFFFF"/>
                <w:sz w:val="17"/>
              </w:rPr>
              <w:t>Categoría / Paquete de trabajo</w:t>
            </w:r>
          </w:p>
        </w:tc>
        <w:tc>
          <w:tcPr>
            <w:tcW w:type="dxa" w:w="2484"/>
            <w:shd w:fill="1B365D"/>
            <w:tcMar>
              <w:top w:w="100" w:type="dxa"/>
              <w:bottom w:w="100" w:type="dxa"/>
              <w:left w:w="100" w:type="dxa"/>
              <w:right w:w="100" w:type="dxa"/>
            </w:tcMar>
          </w:tcPr>
          <w:p>
            <w:pPr>
              <w:spacing w:after="0"/>
            </w:pPr>
            <w:r>
              <w:rPr>
                <w:b/>
                <w:color w:val="FFFFFF"/>
                <w:sz w:val="17"/>
              </w:rPr>
              <w:t>Descripción operativa y alcance</w:t>
            </w:r>
          </w:p>
        </w:tc>
        <w:tc>
          <w:tcPr>
            <w:tcW w:type="dxa" w:w="2484"/>
            <w:shd w:fill="1B365D"/>
            <w:tcMar>
              <w:top w:w="100" w:type="dxa"/>
              <w:bottom w:w="100" w:type="dxa"/>
              <w:left w:w="100" w:type="dxa"/>
              <w:right w:w="100" w:type="dxa"/>
            </w:tcMar>
          </w:tcPr>
          <w:p>
            <w:pPr>
              <w:spacing w:after="0"/>
              <w:jc w:val="right"/>
            </w:pPr>
            <w:r>
              <w:rPr>
                <w:b/>
                <w:color w:val="FFFFFF"/>
                <w:sz w:val="17"/>
              </w:rPr>
              <w:t>Monto total (MXN)</w:t>
            </w:r>
          </w:p>
        </w:tc>
      </w:tr>
      <w:tr>
        <w:tc>
          <w:tcPr>
            <w:tcW w:type="dxa" w:w="2484"/>
            <w:shd w:fill="F7FAFC"/>
            <w:tcMar>
              <w:top w:w="80" w:type="dxa"/>
              <w:bottom w:w="80" w:type="dxa"/>
              <w:left w:w="100" w:type="dxa"/>
              <w:right w:w="100" w:type="dxa"/>
            </w:tcMar>
          </w:tcPr>
          <w:p>
            <w:pPr>
              <w:spacing w:after="0"/>
            </w:pPr>
            <w:r>
              <w:rPr>
                <w:sz w:val="17"/>
              </w:rPr>
              <w:t>1.0</w:t>
            </w:r>
          </w:p>
        </w:tc>
        <w:tc>
          <w:tcPr>
            <w:tcW w:type="dxa" w:w="2484"/>
            <w:shd w:fill="F7FAFC"/>
            <w:tcMar>
              <w:top w:w="80" w:type="dxa"/>
              <w:bottom w:w="80" w:type="dxa"/>
              <w:left w:w="100" w:type="dxa"/>
              <w:right w:w="100" w:type="dxa"/>
            </w:tcMar>
          </w:tcPr>
          <w:p>
            <w:pPr>
              <w:spacing w:after="0"/>
            </w:pPr>
            <w:r>
              <w:rPr>
                <w:sz w:val="17"/>
              </w:rPr>
              <w:t>Mano de obra (Labor / Equipo técnico)</w:t>
            </w:r>
          </w:p>
        </w:tc>
        <w:tc>
          <w:tcPr>
            <w:tcW w:type="dxa" w:w="2484"/>
            <w:shd w:fill="F7FAFC"/>
            <w:tcMar>
              <w:top w:w="80" w:type="dxa"/>
              <w:bottom w:w="80" w:type="dxa"/>
              <w:left w:w="100" w:type="dxa"/>
              <w:right w:w="100" w:type="dxa"/>
            </w:tcMar>
          </w:tcPr>
          <w:p>
            <w:pPr>
              <w:spacing w:after="0"/>
            </w:pPr>
            <w:r>
              <w:rPr>
                <w:sz w:val="17"/>
              </w:rPr>
              <w:t>5 roles técnicos (Scrum Master, Arquitecto/DevOps, Desarrollador Backend, Desarrollador Frontend, QA/Seguridad) cubriendo 9 paquetes de trabajo y 2,720 horas de desarrollo planeadas en 16 semanas.</w:t>
            </w:r>
          </w:p>
        </w:tc>
        <w:tc>
          <w:tcPr>
            <w:tcW w:type="dxa" w:w="2484"/>
            <w:shd w:fill="F7FAFC"/>
            <w:tcMar>
              <w:top w:w="80" w:type="dxa"/>
              <w:bottom w:w="80" w:type="dxa"/>
              <w:left w:w="100" w:type="dxa"/>
              <w:right w:w="100" w:type="dxa"/>
            </w:tcMar>
          </w:tcPr>
          <w:p>
            <w:pPr>
              <w:spacing w:after="0"/>
              <w:jc w:val="right"/>
            </w:pPr>
            <w:r>
              <w:rPr>
                <w:sz w:val="17"/>
              </w:rPr>
              <w:t>$358,000.00 MXN</w:t>
            </w:r>
          </w:p>
        </w:tc>
      </w:tr>
      <w:tr>
        <w:tc>
          <w:tcPr>
            <w:tcW w:type="dxa" w:w="2484"/>
            <w:shd w:fill="FFFFFF"/>
            <w:tcMar>
              <w:top w:w="80" w:type="dxa"/>
              <w:bottom w:w="80" w:type="dxa"/>
              <w:left w:w="100" w:type="dxa"/>
              <w:right w:w="100" w:type="dxa"/>
            </w:tcMar>
          </w:tcPr>
          <w:p>
            <w:pPr>
              <w:spacing w:after="0"/>
            </w:pPr>
            <w:r>
              <w:rPr>
                <w:sz w:val="17"/>
              </w:rPr>
              <w:t>2.0</w:t>
            </w:r>
          </w:p>
        </w:tc>
        <w:tc>
          <w:tcPr>
            <w:tcW w:type="dxa" w:w="2484"/>
            <w:shd w:fill="FFFFFF"/>
            <w:tcMar>
              <w:top w:w="80" w:type="dxa"/>
              <w:bottom w:w="80" w:type="dxa"/>
              <w:left w:w="100" w:type="dxa"/>
              <w:right w:w="100" w:type="dxa"/>
            </w:tcMar>
          </w:tcPr>
          <w:p>
            <w:pPr>
              <w:spacing w:after="0"/>
            </w:pPr>
            <w:r>
              <w:rPr>
                <w:sz w:val="17"/>
              </w:rPr>
              <w:t>Equipamiento y hardware de barra</w:t>
            </w:r>
          </w:p>
        </w:tc>
        <w:tc>
          <w:tcPr>
            <w:tcW w:type="dxa" w:w="2484"/>
            <w:shd w:fill="FFFFFF"/>
            <w:tcMar>
              <w:top w:w="80" w:type="dxa"/>
              <w:bottom w:w="80" w:type="dxa"/>
              <w:left w:w="100" w:type="dxa"/>
              <w:right w:w="100" w:type="dxa"/>
            </w:tcMar>
          </w:tcPr>
          <w:p>
            <w:pPr>
              <w:spacing w:after="0"/>
            </w:pPr>
            <w:r>
              <w:rPr>
                <w:sz w:val="17"/>
              </w:rPr>
              <w:t>Terminal táctil Android 10.5" para mostrador ($6,500), Impresora térmica de tickets de 80mm ($1,800) y Lector de códigos 1D/2D QR ($1,200).</w:t>
            </w:r>
          </w:p>
        </w:tc>
        <w:tc>
          <w:tcPr>
            <w:tcW w:type="dxa" w:w="2484"/>
            <w:shd w:fill="FFFFFF"/>
            <w:tcMar>
              <w:top w:w="80" w:type="dxa"/>
              <w:bottom w:w="80" w:type="dxa"/>
              <w:left w:w="100" w:type="dxa"/>
              <w:right w:w="100" w:type="dxa"/>
            </w:tcMar>
          </w:tcPr>
          <w:p>
            <w:pPr>
              <w:spacing w:after="0"/>
              <w:jc w:val="right"/>
            </w:pPr>
            <w:r>
              <w:rPr>
                <w:sz w:val="17"/>
              </w:rPr>
              <w:t>$9,500.00 MXN</w:t>
            </w:r>
          </w:p>
        </w:tc>
      </w:tr>
      <w:tr>
        <w:tc>
          <w:tcPr>
            <w:tcW w:type="dxa" w:w="2484"/>
            <w:shd w:fill="F7FAFC"/>
            <w:tcMar>
              <w:top w:w="80" w:type="dxa"/>
              <w:bottom w:w="80" w:type="dxa"/>
              <w:left w:w="100" w:type="dxa"/>
              <w:right w:w="100" w:type="dxa"/>
            </w:tcMar>
          </w:tcPr>
          <w:p>
            <w:pPr>
              <w:spacing w:after="0"/>
            </w:pPr>
            <w:r>
              <w:rPr>
                <w:sz w:val="17"/>
              </w:rPr>
              <w:t>3.0</w:t>
            </w:r>
          </w:p>
        </w:tc>
        <w:tc>
          <w:tcPr>
            <w:tcW w:type="dxa" w:w="2484"/>
            <w:shd w:fill="F7FAFC"/>
            <w:tcMar>
              <w:top w:w="80" w:type="dxa"/>
              <w:bottom w:w="80" w:type="dxa"/>
              <w:left w:w="100" w:type="dxa"/>
              <w:right w:w="100" w:type="dxa"/>
            </w:tcMar>
          </w:tcPr>
          <w:p>
            <w:pPr>
              <w:spacing w:after="0"/>
            </w:pPr>
            <w:r>
              <w:rPr>
                <w:sz w:val="17"/>
              </w:rPr>
              <w:t>Infraestructura Cloud y servicios SaaS</w:t>
            </w:r>
          </w:p>
        </w:tc>
        <w:tc>
          <w:tcPr>
            <w:tcW w:type="dxa" w:w="2484"/>
            <w:shd w:fill="F7FAFC"/>
            <w:tcMar>
              <w:top w:w="80" w:type="dxa"/>
              <w:bottom w:w="80" w:type="dxa"/>
              <w:left w:w="100" w:type="dxa"/>
              <w:right w:w="100" w:type="dxa"/>
            </w:tcMar>
          </w:tcPr>
          <w:p>
            <w:pPr>
              <w:spacing w:after="0"/>
            </w:pPr>
            <w:r>
              <w:rPr>
                <w:sz w:val="17"/>
              </w:rPr>
              <w:t>Servicios administrados en Google Cloud Platform (Cloud Run, Cloud SQL, Redis: $7,200), CloudAMQP RabbitMQ ($2,200), Dominio y certificados TLS ($950) y licencias GitHub ($2,400) durante 4 meses.</w:t>
            </w:r>
          </w:p>
        </w:tc>
        <w:tc>
          <w:tcPr>
            <w:tcW w:type="dxa" w:w="2484"/>
            <w:shd w:fill="F7FAFC"/>
            <w:tcMar>
              <w:top w:w="80" w:type="dxa"/>
              <w:bottom w:w="80" w:type="dxa"/>
              <w:left w:w="100" w:type="dxa"/>
              <w:right w:w="100" w:type="dxa"/>
            </w:tcMar>
          </w:tcPr>
          <w:p>
            <w:pPr>
              <w:spacing w:after="0"/>
              <w:jc w:val="right"/>
            </w:pPr>
            <w:r>
              <w:rPr>
                <w:sz w:val="17"/>
              </w:rPr>
              <w:t>$12,750.00 MXN</w:t>
            </w:r>
          </w:p>
        </w:tc>
      </w:tr>
      <w:tr>
        <w:tc>
          <w:tcPr>
            <w:tcW w:type="dxa" w:w="2484"/>
            <w:shd w:fill="FFFFFF"/>
            <w:tcMar>
              <w:top w:w="80" w:type="dxa"/>
              <w:bottom w:w="80" w:type="dxa"/>
              <w:left w:w="100" w:type="dxa"/>
              <w:right w:w="100" w:type="dxa"/>
            </w:tcMar>
          </w:tcPr>
          <w:p>
            <w:pPr>
              <w:spacing w:after="0"/>
            </w:pPr>
            <w:r>
              <w:rPr>
                <w:sz w:val="17"/>
              </w:rPr>
              <w:t>4.0</w:t>
            </w:r>
          </w:p>
        </w:tc>
        <w:tc>
          <w:tcPr>
            <w:tcW w:type="dxa" w:w="2484"/>
            <w:shd w:fill="FFFFFF"/>
            <w:tcMar>
              <w:top w:w="80" w:type="dxa"/>
              <w:bottom w:w="80" w:type="dxa"/>
              <w:left w:w="100" w:type="dxa"/>
              <w:right w:w="100" w:type="dxa"/>
            </w:tcMar>
          </w:tcPr>
          <w:p>
            <w:pPr>
              <w:spacing w:after="0"/>
            </w:pPr>
            <w:r>
              <w:rPr>
                <w:sz w:val="17"/>
              </w:rPr>
              <w:t>Fondo de contingencia y mitigación (10%)</w:t>
            </w:r>
          </w:p>
        </w:tc>
        <w:tc>
          <w:tcPr>
            <w:tcW w:type="dxa" w:w="2484"/>
            <w:shd w:fill="FFFFFF"/>
            <w:tcMar>
              <w:top w:w="80" w:type="dxa"/>
              <w:bottom w:w="80" w:type="dxa"/>
              <w:left w:w="100" w:type="dxa"/>
              <w:right w:w="100" w:type="dxa"/>
            </w:tcMar>
          </w:tcPr>
          <w:p>
            <w:pPr>
              <w:spacing w:after="0"/>
            </w:pPr>
            <w:r>
              <w:rPr>
                <w:sz w:val="17"/>
              </w:rPr>
              <w:t>Reserva del 10% sobre costos directos para imprevistos técnicos, fluctuaciones cambiarias o incrementos de consumo en la nube.</w:t>
            </w:r>
          </w:p>
        </w:tc>
        <w:tc>
          <w:tcPr>
            <w:tcW w:type="dxa" w:w="2484"/>
            <w:shd w:fill="FFFFFF"/>
            <w:tcMar>
              <w:top w:w="80" w:type="dxa"/>
              <w:bottom w:w="80" w:type="dxa"/>
              <w:left w:w="100" w:type="dxa"/>
              <w:right w:w="100" w:type="dxa"/>
            </w:tcMar>
          </w:tcPr>
          <w:p>
            <w:pPr>
              <w:spacing w:after="0"/>
              <w:jc w:val="right"/>
            </w:pPr>
            <w:r>
              <w:rPr>
                <w:sz w:val="17"/>
              </w:rPr>
              <w:t>$38,025.00 MXN</w:t>
            </w:r>
          </w:p>
        </w:tc>
      </w:tr>
      <w:tr>
        <w:tc>
          <w:tcPr>
            <w:tcW w:type="dxa" w:w="2484"/>
            <w:shd w:fill="EDF2F7"/>
            <w:tcMar>
              <w:top w:w="80" w:type="dxa"/>
              <w:bottom w:w="80" w:type="dxa"/>
              <w:left w:w="100" w:type="dxa"/>
              <w:right w:w="100" w:type="dxa"/>
            </w:tcMar>
          </w:tcPr>
          <w:p>
            <w:pPr>
              <w:spacing w:after="0"/>
            </w:pPr>
            <w:r>
              <w:rPr>
                <w:b/>
                <w:color w:val="1B365D"/>
                <w:sz w:val="17"/>
              </w:rPr>
              <w:t>TOTAL</w:t>
            </w:r>
          </w:p>
        </w:tc>
        <w:tc>
          <w:tcPr>
            <w:tcW w:type="dxa" w:w="2484"/>
            <w:shd w:fill="EDF2F7"/>
            <w:tcMar>
              <w:top w:w="80" w:type="dxa"/>
              <w:bottom w:w="80" w:type="dxa"/>
              <w:left w:w="100" w:type="dxa"/>
              <w:right w:w="100" w:type="dxa"/>
            </w:tcMar>
          </w:tcPr>
          <w:p>
            <w:pPr>
              <w:spacing w:after="0"/>
            </w:pPr>
            <w:r>
              <w:rPr>
                <w:b/>
                <w:color w:val="1B365D"/>
                <w:sz w:val="17"/>
              </w:rPr>
              <w:t>PRESUPUESTO TOTAL INICIAL</w:t>
            </w:r>
          </w:p>
        </w:tc>
        <w:tc>
          <w:tcPr>
            <w:tcW w:type="dxa" w:w="2484"/>
            <w:shd w:fill="EDF2F7"/>
            <w:tcMar>
              <w:top w:w="80" w:type="dxa"/>
              <w:bottom w:w="80" w:type="dxa"/>
              <w:left w:w="100" w:type="dxa"/>
              <w:right w:w="100" w:type="dxa"/>
            </w:tcMar>
          </w:tcPr>
          <w:p>
            <w:pPr>
              <w:spacing w:after="0"/>
            </w:pPr>
            <w:r>
              <w:rPr>
                <w:b/>
                <w:color w:val="1B365D"/>
                <w:sz w:val="17"/>
              </w:rPr>
              <w:t>Inversión integral estimada para el desarrollo, despliegue operativo y estabilización del sistema.</w:t>
            </w:r>
          </w:p>
        </w:tc>
        <w:tc>
          <w:tcPr>
            <w:tcW w:type="dxa" w:w="2484"/>
            <w:shd w:fill="EDF2F7"/>
            <w:tcMar>
              <w:top w:w="80" w:type="dxa"/>
              <w:bottom w:w="80" w:type="dxa"/>
              <w:left w:w="100" w:type="dxa"/>
              <w:right w:w="100" w:type="dxa"/>
            </w:tcMar>
          </w:tcPr>
          <w:p>
            <w:pPr>
              <w:spacing w:after="0"/>
              <w:jc w:val="right"/>
            </w:pPr>
            <w:r>
              <w:rPr>
                <w:b/>
                <w:color w:val="1B365D"/>
                <w:sz w:val="17"/>
              </w:rPr>
              <w:t>$418,275.00 MXN</w:t>
            </w:r>
          </w:p>
        </w:tc>
      </w:tr>
    </w:tbl>
    <w:p>
      <w:pPr>
        <w:spacing w:before="120" w:after="120"/>
        <w:ind w:left="216"/>
      </w:pPr>
      <w:r>
        <w:rPr>
          <w:color w:val="4A5568"/>
          <w:sz w:val="18"/>
        </w:rPr>
        <w:t>Métricas de ingeniería del presupuesto inicial:</w:t>
        <w:br/>
        <w:t>• Duración planificada: 16 semanas (4.0 meses de calendario en 8 sprints quincenales).</w:t>
        <w:br/>
        <w:t>• Esfuerzo equivalente en personas-mes: PM = 2,720 horas / 160 hrs/mes = 17.00 PM.</w:t>
        <w:br/>
        <w:t>• Personal promedio equivalente: NP = 17.0 PM / 4.0 meses = 4.25 personas a tiempo completo.</w:t>
        <w:br/>
        <w:t>• Costo promedio por hora / persona-mes: Tarifa promedio = $131.62 MXN/hr → Costo por PM = 160 hrs × $131.62 = $21,058.82 MXN/PM.</w:t>
        <w:br/>
        <w:t>• Productividad implícita: 22,500 LOC / 17.0 PM = 1,323.53 LOC / Persona-Mes (~66 LOC diarias por persona).</w:t>
        <w:br/>
        <w:t>• Análisis de riesgo de productividad: Esta tasa de 1,323 LOC/PM se fundamenta en la reutilización de librerías, tipado estricto y componentes preconstruidos. Sin embargo, constituye una meta agresiva. Si surgen bloqueos en la integración con el hardware de mostrador o si el alcance supera las 22.5 KLOC, el cronograma de 16 semanas enfrentará riesgos serios de desviación.</w:t>
      </w:r>
    </w:p>
    <w:p>
      <w:pPr>
        <w:keepNext/>
        <w:spacing w:before="280" w:after="80"/>
      </w:pPr>
      <w:r>
        <w:rPr>
          <w:rFonts w:ascii="Calibri" w:hAnsi="Calibri"/>
          <w:b/>
          <w:color w:val="1B365D"/>
          <w:sz w:val="26"/>
        </w:rPr>
        <w:t>3. Método 2: Estimación por COCOMO básico (Boehm, 1981)</w:t>
      </w:r>
    </w:p>
    <w:p>
      <w:pPr>
        <w:spacing w:after="80"/>
      </w:pPr>
      <w:r>
        <w:t>El modelo COCOMO básico (Constructive Cost Model) calcula el esfuerzo y el calendario como funciones de potencia empíricas dependientes exclusivamente del tamaño del software en miles de líneas de código fuente (KLOC; Boehm, 1981). Para Monchis Café (22.5 KLOC, arquitectura distribuida y equipo con experiencia intermedia), la clasificación corresponde al Modo Semiacoplado (Semidetached) (Navarro Salcedo, 2026):</w:t>
      </w:r>
    </w:p>
    <w:p>
      <w:pPr>
        <w:spacing w:after="120"/>
        <w:ind w:left="288"/>
      </w:pPr>
      <w:r>
        <w:rPr>
          <w:b/>
          <w:color w:val="1B365D"/>
          <w:sz w:val="18"/>
        </w:rPr>
        <w:t>Ecuaciones del modelo semiacoplado (A = 3.00, B = 1.12, C = 2.50, D = 0.35):</w:t>
        <w:br/>
        <w:t>1. Esfuerzo nominal: PM = A · (KLOC)^B = 3.00 · (22.5)^1.12</w:t>
        <w:br/>
        <w:t>2. Tiempo de desarrollo: TDEV = C · (PM)^D = 2.50 · (PM)^0.35</w:t>
        <w:br/>
        <w:t>3. Personal promedio requerido: NP = PM / TDEV</w:t>
        <w:br/>
        <w:t>4. Costo de mano de obra estimado: Costo = PM · Tarifa promedio mensual</w:t>
      </w:r>
    </w:p>
    <w:p>
      <w:pPr>
        <w:keepNext/>
        <w:spacing w:before="200" w:after="60"/>
      </w:pPr>
      <w:r>
        <w:rPr>
          <w:rFonts w:ascii="Calibri" w:hAnsi="Calibri"/>
          <w:b/>
          <w:color w:val="4A5568"/>
          <w:sz w:val="22"/>
        </w:rPr>
        <w:t>3.1. Desarrollo matemático paso a paso</w:t>
      </w:r>
    </w:p>
    <w:p>
      <w:pPr>
        <w:spacing w:after="120"/>
        <w:ind w:left="288"/>
      </w:pPr>
      <w:r>
        <w:rPr>
          <w:color w:val="4A5568"/>
          <w:sz w:val="18"/>
        </w:rPr>
        <w:t>• Cálculo del esfuerzo (PM):</w:t>
        <w:br/>
        <w:t xml:space="preserve">  (22.5)^1.12 = exp(1.12 · ln(22.5)) = exp(1.12 · 3.113515) = exp(3.487137) = 32.6922</w:t>
        <w:br/>
        <w:t xml:space="preserve">  PM = 3.00 × 32.6922 = 98.0767 PM ≈ 98.08 Personas-Mes.</w:t>
        <w:br/>
        <w:br/>
        <w:t>• Cálculo del tiempo de desarrollo (TDEV):</w:t>
        <w:br/>
        <w:t xml:space="preserve">  (98.0767)^0.35 = exp(0.35 · ln(98.0767)) = exp(0.35 · 4.5857) = exp(1.6050) = 4.9779</w:t>
        <w:br/>
        <w:t xml:space="preserve">  TDEV = 2.50 × 4.9779 = 12.4448 meses ≈ 12.44 Meses de calendario (~54 semanas).</w:t>
        <w:br/>
        <w:br/>
        <w:t>• Personal promedio (NP) y productividad:</w:t>
        <w:br/>
        <w:t xml:space="preserve">  NP = 98.0767 / 12.4448 = 7.88 personas a tiempo completo.</w:t>
        <w:br/>
        <w:t xml:space="preserve">  Productividad nominal = 22,500 LOC / 98.08 PM = 229.41 LOC / Persona-Mes.</w:t>
        <w:br/>
        <w:br/>
        <w:t>• Costo de mano de obra estimado (Tarifa base: $21,058.82 MXN/PM):</w:t>
        <w:br/>
        <w:t xml:space="preserve">  Costo = 98.0767 PM × $21,058.82 MXN/PM = $2,065,379.11 MXN.</w:t>
      </w:r>
    </w:p>
    <w:p>
      <w:pPr>
        <w:spacing w:after="160"/>
      </w:pPr>
      <w:r>
        <w:t>Evaluación del modelo básico: COCOMO básico arroja 98.08 personas-mes y un plazo de 12.44 meses. Este modelo fue concebido bajo el paradigma procedural de 1981, donde no existían frameworks de alto nivel ni reutilización masiva de librerías, lo que conduce a una sobreestimación notable del esfuerzo para una aplicación web moderna. Asimismo, pretender incorporar casi 8 desarrolladores a tiempo completo en un proyecto de 22.5 KLOC provocaría una sobrecarga en la comunicación interna, en consonancia con la ley de Brooks (1975).</w:t>
      </w:r>
    </w:p>
    <w:p>
      <w:pPr>
        <w:keepNext/>
        <w:spacing w:before="280" w:after="80"/>
      </w:pPr>
      <w:r>
        <w:rPr>
          <w:rFonts w:ascii="Calibri" w:hAnsi="Calibri"/>
          <w:b/>
          <w:color w:val="1B365D"/>
          <w:sz w:val="26"/>
        </w:rPr>
        <w:t>4. Método 3: Estimación por COCOMO intermedio</w:t>
      </w:r>
    </w:p>
    <w:p>
      <w:pPr>
        <w:spacing w:after="80"/>
      </w:pPr>
      <w:r>
        <w:t>COCOMO intermedio refina la estimación básica incorporando el Factor de Ajuste de Esfuerzo (EAF - Effort Adjustment Factor), obtenido como el producto de 15 conductores de coste (Cost Drivers; Boehm, 1981) evaluados de acuerdo con el contexto técnico del proyecto:</w:t>
      </w:r>
    </w:p>
    <w:tbl>
      <w:tblPr>
        <w:tblW w:type="auto" w:w="0"/>
        <w:jc w:val="center"/>
        <w:tblLook w:firstColumn="1" w:firstRow="1" w:lastColumn="0" w:lastRow="0" w:noHBand="0" w:noVBand="1" w:val="04A0"/>
        <w:tblBorders>
          <w:top w:val="single" w:sz="4" w:space="0" w:color="1B365D"/>
          <w:bottom w:val="single" w:sz="4" w:space="0" w:color="1B365D"/>
          <w:left w:val="none"/>
          <w:right w:val="none"/>
          <w:insideH w:val="single" w:sz="4" w:space="0" w:color="1B365D"/>
          <w:insideV w:val="none"/>
        </w:tblBorders>
      </w:tblPr>
      <w:tblGrid>
        <w:gridCol w:w="1987"/>
        <w:gridCol w:w="1987"/>
        <w:gridCol w:w="1987"/>
        <w:gridCol w:w="1987"/>
        <w:gridCol w:w="1987"/>
      </w:tblGrid>
      <w:tr>
        <w:tc>
          <w:tcPr>
            <w:tcW w:type="dxa" w:w="1987"/>
            <w:shd w:fill="1B365D"/>
            <w:tcMar>
              <w:top w:w="80" w:type="dxa"/>
              <w:bottom w:w="80" w:type="dxa"/>
              <w:left w:w="80" w:type="dxa"/>
              <w:right w:w="80" w:type="dxa"/>
            </w:tcMar>
          </w:tcPr>
          <w:p>
            <w:pPr>
              <w:spacing w:after="0"/>
            </w:pPr>
            <w:r>
              <w:rPr>
                <w:b/>
                <w:color w:val="FFFFFF"/>
                <w:sz w:val="16"/>
              </w:rPr>
              <w:t>Categoría</w:t>
            </w:r>
          </w:p>
        </w:tc>
        <w:tc>
          <w:tcPr>
            <w:tcW w:type="dxa" w:w="1987"/>
            <w:shd w:fill="1B365D"/>
            <w:tcMar>
              <w:top w:w="80" w:type="dxa"/>
              <w:bottom w:w="80" w:type="dxa"/>
              <w:left w:w="80" w:type="dxa"/>
              <w:right w:w="80" w:type="dxa"/>
            </w:tcMar>
          </w:tcPr>
          <w:p>
            <w:pPr>
              <w:spacing w:after="0"/>
            </w:pPr>
            <w:r>
              <w:rPr>
                <w:b/>
                <w:color w:val="FFFFFF"/>
                <w:sz w:val="16"/>
              </w:rPr>
              <w:t>Conductor de coste (Cost Driver)</w:t>
            </w:r>
          </w:p>
        </w:tc>
        <w:tc>
          <w:tcPr>
            <w:tcW w:type="dxa" w:w="1987"/>
            <w:shd w:fill="1B365D"/>
            <w:tcMar>
              <w:top w:w="80" w:type="dxa"/>
              <w:bottom w:w="80" w:type="dxa"/>
              <w:left w:w="80" w:type="dxa"/>
              <w:right w:w="80" w:type="dxa"/>
            </w:tcMar>
          </w:tcPr>
          <w:p>
            <w:pPr>
              <w:spacing w:after="0"/>
              <w:jc w:val="center"/>
            </w:pPr>
            <w:r>
              <w:rPr>
                <w:b/>
                <w:color w:val="FFFFFF"/>
                <w:sz w:val="16"/>
              </w:rPr>
              <w:t>Nivel</w:t>
            </w:r>
          </w:p>
        </w:tc>
        <w:tc>
          <w:tcPr>
            <w:tcW w:type="dxa" w:w="1987"/>
            <w:shd w:fill="1B365D"/>
            <w:tcMar>
              <w:top w:w="80" w:type="dxa"/>
              <w:bottom w:w="80" w:type="dxa"/>
              <w:left w:w="80" w:type="dxa"/>
              <w:right w:w="80" w:type="dxa"/>
            </w:tcMar>
          </w:tcPr>
          <w:p>
            <w:pPr>
              <w:spacing w:after="0"/>
              <w:jc w:val="center"/>
            </w:pPr>
            <w:r>
              <w:rPr>
                <w:b/>
                <w:color w:val="FFFFFF"/>
                <w:sz w:val="16"/>
              </w:rPr>
              <w:t>Valor</w:t>
            </w:r>
          </w:p>
        </w:tc>
        <w:tc>
          <w:tcPr>
            <w:tcW w:type="dxa" w:w="1987"/>
            <w:shd w:fill="1B365D"/>
            <w:tcMar>
              <w:top w:w="80" w:type="dxa"/>
              <w:bottom w:w="80" w:type="dxa"/>
              <w:left w:w="80" w:type="dxa"/>
              <w:right w:w="80" w:type="dxa"/>
            </w:tcMar>
          </w:tcPr>
          <w:p>
            <w:pPr>
              <w:spacing w:after="0"/>
            </w:pPr>
            <w:r>
              <w:rPr>
                <w:b/>
                <w:color w:val="FFFFFF"/>
                <w:sz w:val="16"/>
              </w:rPr>
              <w:t>Justificación técnica en Monchis Café</w:t>
            </w:r>
          </w:p>
        </w:tc>
      </w:tr>
      <w:tr>
        <w:tc>
          <w:tcPr>
            <w:tcW w:type="dxa" w:w="1987"/>
            <w:shd w:fill="F7FAFC"/>
            <w:tcMar>
              <w:top w:w="60" w:type="dxa"/>
              <w:bottom w:w="60" w:type="dxa"/>
              <w:left w:w="80" w:type="dxa"/>
              <w:right w:w="80" w:type="dxa"/>
            </w:tcMar>
          </w:tcPr>
          <w:p>
            <w:pPr>
              <w:spacing w:after="0"/>
            </w:pPr>
            <w:r>
              <w:rPr>
                <w:sz w:val="16"/>
              </w:rPr>
              <w:t>Producto</w:t>
            </w:r>
          </w:p>
        </w:tc>
        <w:tc>
          <w:tcPr>
            <w:tcW w:type="dxa" w:w="1987"/>
            <w:shd w:fill="F7FAFC"/>
            <w:tcMar>
              <w:top w:w="60" w:type="dxa"/>
              <w:bottom w:w="60" w:type="dxa"/>
              <w:left w:w="80" w:type="dxa"/>
              <w:right w:w="80" w:type="dxa"/>
            </w:tcMar>
          </w:tcPr>
          <w:p>
            <w:pPr>
              <w:spacing w:after="0"/>
            </w:pPr>
            <w:r>
              <w:rPr>
                <w:sz w:val="16"/>
              </w:rPr>
              <w:t>RELY — Fiabilidad requerida del software</w:t>
            </w:r>
          </w:p>
        </w:tc>
        <w:tc>
          <w:tcPr>
            <w:tcW w:type="dxa" w:w="1987"/>
            <w:shd w:fill="F7FAFC"/>
            <w:tcMar>
              <w:top w:w="60" w:type="dxa"/>
              <w:bottom w:w="60" w:type="dxa"/>
              <w:left w:w="80" w:type="dxa"/>
              <w:right w:w="80" w:type="dxa"/>
            </w:tcMar>
          </w:tcPr>
          <w:p>
            <w:pPr>
              <w:spacing w:after="0"/>
              <w:jc w:val="center"/>
            </w:pPr>
            <w:r>
              <w:rPr>
                <w:sz w:val="16"/>
              </w:rPr>
              <w:t>Alta</w:t>
            </w:r>
          </w:p>
        </w:tc>
        <w:tc>
          <w:tcPr>
            <w:tcW w:type="dxa" w:w="1987"/>
            <w:shd w:fill="F7FAFC"/>
            <w:tcMar>
              <w:top w:w="60" w:type="dxa"/>
              <w:bottom w:w="60" w:type="dxa"/>
              <w:left w:w="80" w:type="dxa"/>
              <w:right w:w="80" w:type="dxa"/>
            </w:tcMar>
          </w:tcPr>
          <w:p>
            <w:pPr>
              <w:spacing w:after="0"/>
              <w:jc w:val="center"/>
            </w:pPr>
            <w:r>
              <w:rPr>
                <w:sz w:val="16"/>
              </w:rPr>
              <w:t>1.15</w:t>
            </w:r>
          </w:p>
        </w:tc>
        <w:tc>
          <w:tcPr>
            <w:tcW w:type="dxa" w:w="1987"/>
            <w:shd w:fill="F7FAFC"/>
            <w:tcMar>
              <w:top w:w="60" w:type="dxa"/>
              <w:bottom w:w="60" w:type="dxa"/>
              <w:left w:w="80" w:type="dxa"/>
              <w:right w:w="80" w:type="dxa"/>
            </w:tcMar>
          </w:tcPr>
          <w:p>
            <w:pPr>
              <w:spacing w:after="0"/>
            </w:pPr>
            <w:r>
              <w:rPr>
                <w:sz w:val="16"/>
              </w:rPr>
              <w:t>Manejo de pedidos, cobros POS en barra y persistencia transaccional de ventas.</w:t>
            </w:r>
          </w:p>
        </w:tc>
      </w:tr>
      <w:tr>
        <w:tc>
          <w:tcPr>
            <w:tcW w:type="dxa" w:w="1987"/>
            <w:shd w:fill="FFFFFF"/>
            <w:tcMar>
              <w:top w:w="60" w:type="dxa"/>
              <w:bottom w:w="60" w:type="dxa"/>
              <w:left w:w="80" w:type="dxa"/>
              <w:right w:w="80" w:type="dxa"/>
            </w:tcMar>
          </w:tcPr>
          <w:p>
            <w:pPr>
              <w:spacing w:after="0"/>
            </w:pPr>
            <w:r>
              <w:rPr>
                <w:sz w:val="16"/>
              </w:rPr>
              <w:t>Producto</w:t>
            </w:r>
          </w:p>
        </w:tc>
        <w:tc>
          <w:tcPr>
            <w:tcW w:type="dxa" w:w="1987"/>
            <w:shd w:fill="FFFFFF"/>
            <w:tcMar>
              <w:top w:w="60" w:type="dxa"/>
              <w:bottom w:w="60" w:type="dxa"/>
              <w:left w:w="80" w:type="dxa"/>
              <w:right w:w="80" w:type="dxa"/>
            </w:tcMar>
          </w:tcPr>
          <w:p>
            <w:pPr>
              <w:spacing w:after="0"/>
            </w:pPr>
            <w:r>
              <w:rPr>
                <w:sz w:val="16"/>
              </w:rPr>
              <w:t>DATA — Tamaño de la base de datos</w:t>
            </w:r>
          </w:p>
        </w:tc>
        <w:tc>
          <w:tcPr>
            <w:tcW w:type="dxa" w:w="1987"/>
            <w:shd w:fill="FFFFFF"/>
            <w:tcMar>
              <w:top w:w="60" w:type="dxa"/>
              <w:bottom w:w="60" w:type="dxa"/>
              <w:left w:w="80" w:type="dxa"/>
              <w:right w:w="80" w:type="dxa"/>
            </w:tcMar>
          </w:tcPr>
          <w:p>
            <w:pPr>
              <w:spacing w:after="0"/>
              <w:jc w:val="center"/>
            </w:pPr>
            <w:r>
              <w:rPr>
                <w:sz w:val="16"/>
              </w:rPr>
              <w:t>Nominal</w:t>
            </w:r>
          </w:p>
        </w:tc>
        <w:tc>
          <w:tcPr>
            <w:tcW w:type="dxa" w:w="1987"/>
            <w:shd w:fill="FFFFFF"/>
            <w:tcMar>
              <w:top w:w="60" w:type="dxa"/>
              <w:bottom w:w="60" w:type="dxa"/>
              <w:left w:w="80" w:type="dxa"/>
              <w:right w:w="80" w:type="dxa"/>
            </w:tcMar>
          </w:tcPr>
          <w:p>
            <w:pPr>
              <w:spacing w:after="0"/>
              <w:jc w:val="center"/>
            </w:pPr>
            <w:r>
              <w:rPr>
                <w:sz w:val="16"/>
              </w:rPr>
              <w:t>1.00</w:t>
            </w:r>
          </w:p>
        </w:tc>
        <w:tc>
          <w:tcPr>
            <w:tcW w:type="dxa" w:w="1987"/>
            <w:shd w:fill="FFFFFF"/>
            <w:tcMar>
              <w:top w:w="60" w:type="dxa"/>
              <w:bottom w:w="60" w:type="dxa"/>
              <w:left w:w="80" w:type="dxa"/>
              <w:right w:w="80" w:type="dxa"/>
            </w:tcMar>
          </w:tcPr>
          <w:p>
            <w:pPr>
              <w:spacing w:after="0"/>
            </w:pPr>
            <w:r>
              <w:rPr>
                <w:sz w:val="16"/>
              </w:rPr>
              <w:t>Base de datos relacional PostgreSQL con volumen de datos comercial moderado.</w:t>
            </w:r>
          </w:p>
        </w:tc>
      </w:tr>
      <w:tr>
        <w:tc>
          <w:tcPr>
            <w:tcW w:type="dxa" w:w="1987"/>
            <w:shd w:fill="F7FAFC"/>
            <w:tcMar>
              <w:top w:w="60" w:type="dxa"/>
              <w:bottom w:w="60" w:type="dxa"/>
              <w:left w:w="80" w:type="dxa"/>
              <w:right w:w="80" w:type="dxa"/>
            </w:tcMar>
          </w:tcPr>
          <w:p>
            <w:pPr>
              <w:spacing w:after="0"/>
            </w:pPr>
            <w:r>
              <w:rPr>
                <w:sz w:val="16"/>
              </w:rPr>
              <w:t>Producto</w:t>
            </w:r>
          </w:p>
        </w:tc>
        <w:tc>
          <w:tcPr>
            <w:tcW w:type="dxa" w:w="1987"/>
            <w:shd w:fill="F7FAFC"/>
            <w:tcMar>
              <w:top w:w="60" w:type="dxa"/>
              <w:bottom w:w="60" w:type="dxa"/>
              <w:left w:w="80" w:type="dxa"/>
              <w:right w:w="80" w:type="dxa"/>
            </w:tcMar>
          </w:tcPr>
          <w:p>
            <w:pPr>
              <w:spacing w:after="0"/>
            </w:pPr>
            <w:r>
              <w:rPr>
                <w:sz w:val="16"/>
              </w:rPr>
              <w:t>CPLX — Complejidad del software</w:t>
            </w:r>
          </w:p>
        </w:tc>
        <w:tc>
          <w:tcPr>
            <w:tcW w:type="dxa" w:w="1987"/>
            <w:shd w:fill="F7FAFC"/>
            <w:tcMar>
              <w:top w:w="60" w:type="dxa"/>
              <w:bottom w:w="60" w:type="dxa"/>
              <w:left w:w="80" w:type="dxa"/>
              <w:right w:w="80" w:type="dxa"/>
            </w:tcMar>
          </w:tcPr>
          <w:p>
            <w:pPr>
              <w:spacing w:after="0"/>
              <w:jc w:val="center"/>
            </w:pPr>
            <w:r>
              <w:rPr>
                <w:sz w:val="16"/>
              </w:rPr>
              <w:t>Alta</w:t>
            </w:r>
          </w:p>
        </w:tc>
        <w:tc>
          <w:tcPr>
            <w:tcW w:type="dxa" w:w="1987"/>
            <w:shd w:fill="F7FAFC"/>
            <w:tcMar>
              <w:top w:w="60" w:type="dxa"/>
              <w:bottom w:w="60" w:type="dxa"/>
              <w:left w:w="80" w:type="dxa"/>
              <w:right w:w="80" w:type="dxa"/>
            </w:tcMar>
          </w:tcPr>
          <w:p>
            <w:pPr>
              <w:spacing w:after="0"/>
              <w:jc w:val="center"/>
            </w:pPr>
            <w:r>
              <w:rPr>
                <w:sz w:val="16"/>
              </w:rPr>
              <w:t>1.15</w:t>
            </w:r>
          </w:p>
        </w:tc>
        <w:tc>
          <w:tcPr>
            <w:tcW w:type="dxa" w:w="1987"/>
            <w:shd w:fill="F7FAFC"/>
            <w:tcMar>
              <w:top w:w="60" w:type="dxa"/>
              <w:bottom w:w="60" w:type="dxa"/>
              <w:left w:w="80" w:type="dxa"/>
              <w:right w:w="80" w:type="dxa"/>
            </w:tcMar>
          </w:tcPr>
          <w:p>
            <w:pPr>
              <w:spacing w:after="0"/>
            </w:pPr>
            <w:r>
              <w:rPr>
                <w:sz w:val="16"/>
              </w:rPr>
              <w:t>Patrón Saga distribuido con RabbitMQ, transacciones y autenticación stateless.</w:t>
            </w:r>
          </w:p>
        </w:tc>
      </w:tr>
      <w:tr>
        <w:tc>
          <w:tcPr>
            <w:tcW w:type="dxa" w:w="1987"/>
            <w:shd w:fill="FFFFFF"/>
            <w:tcMar>
              <w:top w:w="60" w:type="dxa"/>
              <w:bottom w:w="60" w:type="dxa"/>
              <w:left w:w="80" w:type="dxa"/>
              <w:right w:w="80" w:type="dxa"/>
            </w:tcMar>
          </w:tcPr>
          <w:p>
            <w:pPr>
              <w:spacing w:after="0"/>
            </w:pPr>
            <w:r>
              <w:rPr>
                <w:sz w:val="16"/>
              </w:rPr>
              <w:t>Plataforma</w:t>
            </w:r>
          </w:p>
        </w:tc>
        <w:tc>
          <w:tcPr>
            <w:tcW w:type="dxa" w:w="1987"/>
            <w:shd w:fill="FFFFFF"/>
            <w:tcMar>
              <w:top w:w="60" w:type="dxa"/>
              <w:bottom w:w="60" w:type="dxa"/>
              <w:left w:w="80" w:type="dxa"/>
              <w:right w:w="80" w:type="dxa"/>
            </w:tcMar>
          </w:tcPr>
          <w:p>
            <w:pPr>
              <w:spacing w:after="0"/>
            </w:pPr>
            <w:r>
              <w:rPr>
                <w:sz w:val="16"/>
              </w:rPr>
              <w:t>TIME — Restricción de tiempo de ejecución</w:t>
            </w:r>
          </w:p>
        </w:tc>
        <w:tc>
          <w:tcPr>
            <w:tcW w:type="dxa" w:w="1987"/>
            <w:shd w:fill="FFFFFF"/>
            <w:tcMar>
              <w:top w:w="60" w:type="dxa"/>
              <w:bottom w:w="60" w:type="dxa"/>
              <w:left w:w="80" w:type="dxa"/>
              <w:right w:w="80" w:type="dxa"/>
            </w:tcMar>
          </w:tcPr>
          <w:p>
            <w:pPr>
              <w:spacing w:after="0"/>
              <w:jc w:val="center"/>
            </w:pPr>
            <w:r>
              <w:rPr>
                <w:sz w:val="16"/>
              </w:rPr>
              <w:t>Nominal</w:t>
            </w:r>
          </w:p>
        </w:tc>
        <w:tc>
          <w:tcPr>
            <w:tcW w:type="dxa" w:w="1987"/>
            <w:shd w:fill="FFFFFF"/>
            <w:tcMar>
              <w:top w:w="60" w:type="dxa"/>
              <w:bottom w:w="60" w:type="dxa"/>
              <w:left w:w="80" w:type="dxa"/>
              <w:right w:w="80" w:type="dxa"/>
            </w:tcMar>
          </w:tcPr>
          <w:p>
            <w:pPr>
              <w:spacing w:after="0"/>
              <w:jc w:val="center"/>
            </w:pPr>
            <w:r>
              <w:rPr>
                <w:sz w:val="16"/>
              </w:rPr>
              <w:t>1.00</w:t>
            </w:r>
          </w:p>
        </w:tc>
        <w:tc>
          <w:tcPr>
            <w:tcW w:type="dxa" w:w="1987"/>
            <w:shd w:fill="FFFFFF"/>
            <w:tcMar>
              <w:top w:w="60" w:type="dxa"/>
              <w:bottom w:w="60" w:type="dxa"/>
              <w:left w:w="80" w:type="dxa"/>
              <w:right w:w="80" w:type="dxa"/>
            </w:tcMar>
          </w:tcPr>
          <w:p>
            <w:pPr>
              <w:spacing w:after="0"/>
            </w:pPr>
            <w:r>
              <w:rPr>
                <w:sz w:val="16"/>
              </w:rPr>
              <w:t>Aplicación transaccional web sin restricciones de tiempo real estricto.</w:t>
            </w:r>
          </w:p>
        </w:tc>
      </w:tr>
      <w:tr>
        <w:tc>
          <w:tcPr>
            <w:tcW w:type="dxa" w:w="1987"/>
            <w:shd w:fill="F7FAFC"/>
            <w:tcMar>
              <w:top w:w="60" w:type="dxa"/>
              <w:bottom w:w="60" w:type="dxa"/>
              <w:left w:w="80" w:type="dxa"/>
              <w:right w:w="80" w:type="dxa"/>
            </w:tcMar>
          </w:tcPr>
          <w:p>
            <w:pPr>
              <w:spacing w:after="0"/>
            </w:pPr>
            <w:r>
              <w:rPr>
                <w:sz w:val="16"/>
              </w:rPr>
              <w:t>Plataforma</w:t>
            </w:r>
          </w:p>
        </w:tc>
        <w:tc>
          <w:tcPr>
            <w:tcW w:type="dxa" w:w="1987"/>
            <w:shd w:fill="F7FAFC"/>
            <w:tcMar>
              <w:top w:w="60" w:type="dxa"/>
              <w:bottom w:w="60" w:type="dxa"/>
              <w:left w:w="80" w:type="dxa"/>
              <w:right w:w="80" w:type="dxa"/>
            </w:tcMar>
          </w:tcPr>
          <w:p>
            <w:pPr>
              <w:spacing w:after="0"/>
            </w:pPr>
            <w:r>
              <w:rPr>
                <w:sz w:val="16"/>
              </w:rPr>
              <w:t>STOR — Restricción de memoria principal</w:t>
            </w:r>
          </w:p>
        </w:tc>
        <w:tc>
          <w:tcPr>
            <w:tcW w:type="dxa" w:w="1987"/>
            <w:shd w:fill="F7FAFC"/>
            <w:tcMar>
              <w:top w:w="60" w:type="dxa"/>
              <w:bottom w:w="60" w:type="dxa"/>
              <w:left w:w="80" w:type="dxa"/>
              <w:right w:w="80" w:type="dxa"/>
            </w:tcMar>
          </w:tcPr>
          <w:p>
            <w:pPr>
              <w:spacing w:after="0"/>
              <w:jc w:val="center"/>
            </w:pPr>
            <w:r>
              <w:rPr>
                <w:sz w:val="16"/>
              </w:rPr>
              <w:t>Nominal</w:t>
            </w:r>
          </w:p>
        </w:tc>
        <w:tc>
          <w:tcPr>
            <w:tcW w:type="dxa" w:w="1987"/>
            <w:shd w:fill="F7FAFC"/>
            <w:tcMar>
              <w:top w:w="60" w:type="dxa"/>
              <w:bottom w:w="60" w:type="dxa"/>
              <w:left w:w="80" w:type="dxa"/>
              <w:right w:w="80" w:type="dxa"/>
            </w:tcMar>
          </w:tcPr>
          <w:p>
            <w:pPr>
              <w:spacing w:after="0"/>
              <w:jc w:val="center"/>
            </w:pPr>
            <w:r>
              <w:rPr>
                <w:sz w:val="16"/>
              </w:rPr>
              <w:t>1.00</w:t>
            </w:r>
          </w:p>
        </w:tc>
        <w:tc>
          <w:tcPr>
            <w:tcW w:type="dxa" w:w="1987"/>
            <w:shd w:fill="F7FAFC"/>
            <w:tcMar>
              <w:top w:w="60" w:type="dxa"/>
              <w:bottom w:w="60" w:type="dxa"/>
              <w:left w:w="80" w:type="dxa"/>
              <w:right w:w="80" w:type="dxa"/>
            </w:tcMar>
          </w:tcPr>
          <w:p>
            <w:pPr>
              <w:spacing w:after="0"/>
            </w:pPr>
            <w:r>
              <w:rPr>
                <w:sz w:val="16"/>
              </w:rPr>
              <w:t>Memoria holgada en instancias serverless de Cloud Run y contenedores Docker.</w:t>
            </w:r>
          </w:p>
        </w:tc>
      </w:tr>
      <w:tr>
        <w:tc>
          <w:tcPr>
            <w:tcW w:type="dxa" w:w="1987"/>
            <w:shd w:fill="FFFFFF"/>
            <w:tcMar>
              <w:top w:w="60" w:type="dxa"/>
              <w:bottom w:w="60" w:type="dxa"/>
              <w:left w:w="80" w:type="dxa"/>
              <w:right w:w="80" w:type="dxa"/>
            </w:tcMar>
          </w:tcPr>
          <w:p>
            <w:pPr>
              <w:spacing w:after="0"/>
            </w:pPr>
            <w:r>
              <w:rPr>
                <w:sz w:val="16"/>
              </w:rPr>
              <w:t>Plataforma</w:t>
            </w:r>
          </w:p>
        </w:tc>
        <w:tc>
          <w:tcPr>
            <w:tcW w:type="dxa" w:w="1987"/>
            <w:shd w:fill="FFFFFF"/>
            <w:tcMar>
              <w:top w:w="60" w:type="dxa"/>
              <w:bottom w:w="60" w:type="dxa"/>
              <w:left w:w="80" w:type="dxa"/>
              <w:right w:w="80" w:type="dxa"/>
            </w:tcMar>
          </w:tcPr>
          <w:p>
            <w:pPr>
              <w:spacing w:after="0"/>
            </w:pPr>
            <w:r>
              <w:rPr>
                <w:sz w:val="16"/>
              </w:rPr>
              <w:t>VIRT — Volatilidad de la máquina virtual</w:t>
            </w:r>
          </w:p>
        </w:tc>
        <w:tc>
          <w:tcPr>
            <w:tcW w:type="dxa" w:w="1987"/>
            <w:shd w:fill="FFFFFF"/>
            <w:tcMar>
              <w:top w:w="60" w:type="dxa"/>
              <w:bottom w:w="60" w:type="dxa"/>
              <w:left w:w="80" w:type="dxa"/>
              <w:right w:w="80" w:type="dxa"/>
            </w:tcMar>
          </w:tcPr>
          <w:p>
            <w:pPr>
              <w:spacing w:after="0"/>
              <w:jc w:val="center"/>
            </w:pPr>
            <w:r>
              <w:rPr>
                <w:sz w:val="16"/>
              </w:rPr>
              <w:t>Baja</w:t>
            </w:r>
          </w:p>
        </w:tc>
        <w:tc>
          <w:tcPr>
            <w:tcW w:type="dxa" w:w="1987"/>
            <w:shd w:fill="FFFFFF"/>
            <w:tcMar>
              <w:top w:w="60" w:type="dxa"/>
              <w:bottom w:w="60" w:type="dxa"/>
              <w:left w:w="80" w:type="dxa"/>
              <w:right w:w="80" w:type="dxa"/>
            </w:tcMar>
          </w:tcPr>
          <w:p>
            <w:pPr>
              <w:spacing w:after="0"/>
              <w:jc w:val="center"/>
            </w:pPr>
            <w:r>
              <w:rPr>
                <w:sz w:val="16"/>
              </w:rPr>
              <w:t>0.87</w:t>
            </w:r>
          </w:p>
        </w:tc>
        <w:tc>
          <w:tcPr>
            <w:tcW w:type="dxa" w:w="1987"/>
            <w:shd w:fill="FFFFFF"/>
            <w:tcMar>
              <w:top w:w="60" w:type="dxa"/>
              <w:bottom w:w="60" w:type="dxa"/>
              <w:left w:w="80" w:type="dxa"/>
              <w:right w:w="80" w:type="dxa"/>
            </w:tcMar>
          </w:tcPr>
          <w:p>
            <w:pPr>
              <w:spacing w:after="0"/>
            </w:pPr>
            <w:r>
              <w:rPr>
                <w:sz w:val="16"/>
              </w:rPr>
              <w:t>Entorno estandarizado en contenedores Docker y Node.js LTS de alta estabilidad.</w:t>
            </w:r>
          </w:p>
        </w:tc>
      </w:tr>
      <w:tr>
        <w:tc>
          <w:tcPr>
            <w:tcW w:type="dxa" w:w="1987"/>
            <w:shd w:fill="F7FAFC"/>
            <w:tcMar>
              <w:top w:w="60" w:type="dxa"/>
              <w:bottom w:w="60" w:type="dxa"/>
              <w:left w:w="80" w:type="dxa"/>
              <w:right w:w="80" w:type="dxa"/>
            </w:tcMar>
          </w:tcPr>
          <w:p>
            <w:pPr>
              <w:spacing w:after="0"/>
            </w:pPr>
            <w:r>
              <w:rPr>
                <w:sz w:val="16"/>
              </w:rPr>
              <w:t>Plataforma</w:t>
            </w:r>
          </w:p>
        </w:tc>
        <w:tc>
          <w:tcPr>
            <w:tcW w:type="dxa" w:w="1987"/>
            <w:shd w:fill="F7FAFC"/>
            <w:tcMar>
              <w:top w:w="60" w:type="dxa"/>
              <w:bottom w:w="60" w:type="dxa"/>
              <w:left w:w="80" w:type="dxa"/>
              <w:right w:w="80" w:type="dxa"/>
            </w:tcMar>
          </w:tcPr>
          <w:p>
            <w:pPr>
              <w:spacing w:after="0"/>
            </w:pPr>
            <w:r>
              <w:rPr>
                <w:sz w:val="16"/>
              </w:rPr>
              <w:t>TURN — Tiempo de respuesta de la máquina</w:t>
            </w:r>
          </w:p>
        </w:tc>
        <w:tc>
          <w:tcPr>
            <w:tcW w:type="dxa" w:w="1987"/>
            <w:shd w:fill="F7FAFC"/>
            <w:tcMar>
              <w:top w:w="60" w:type="dxa"/>
              <w:bottom w:w="60" w:type="dxa"/>
              <w:left w:w="80" w:type="dxa"/>
              <w:right w:w="80" w:type="dxa"/>
            </w:tcMar>
          </w:tcPr>
          <w:p>
            <w:pPr>
              <w:spacing w:after="0"/>
              <w:jc w:val="center"/>
            </w:pPr>
            <w:r>
              <w:rPr>
                <w:sz w:val="16"/>
              </w:rPr>
              <w:t>Nominal</w:t>
            </w:r>
          </w:p>
        </w:tc>
        <w:tc>
          <w:tcPr>
            <w:tcW w:type="dxa" w:w="1987"/>
            <w:shd w:fill="F7FAFC"/>
            <w:tcMar>
              <w:top w:w="60" w:type="dxa"/>
              <w:bottom w:w="60" w:type="dxa"/>
              <w:left w:w="80" w:type="dxa"/>
              <w:right w:w="80" w:type="dxa"/>
            </w:tcMar>
          </w:tcPr>
          <w:p>
            <w:pPr>
              <w:spacing w:after="0"/>
              <w:jc w:val="center"/>
            </w:pPr>
            <w:r>
              <w:rPr>
                <w:sz w:val="16"/>
              </w:rPr>
              <w:t>1.00</w:t>
            </w:r>
          </w:p>
        </w:tc>
        <w:tc>
          <w:tcPr>
            <w:tcW w:type="dxa" w:w="1987"/>
            <w:shd w:fill="F7FAFC"/>
            <w:tcMar>
              <w:top w:w="60" w:type="dxa"/>
              <w:bottom w:w="60" w:type="dxa"/>
              <w:left w:w="80" w:type="dxa"/>
              <w:right w:w="80" w:type="dxa"/>
            </w:tcMar>
          </w:tcPr>
          <w:p>
            <w:pPr>
              <w:spacing w:after="0"/>
            </w:pPr>
            <w:r>
              <w:rPr>
                <w:sz w:val="16"/>
              </w:rPr>
              <w:t>Entorno de desarrollo ágil con recarga en caliente (HMR) mediante Vite.</w:t>
            </w:r>
          </w:p>
        </w:tc>
      </w:tr>
      <w:tr>
        <w:tc>
          <w:tcPr>
            <w:tcW w:type="dxa" w:w="1987"/>
            <w:shd w:fill="FFFFFF"/>
            <w:tcMar>
              <w:top w:w="60" w:type="dxa"/>
              <w:bottom w:w="60" w:type="dxa"/>
              <w:left w:w="80" w:type="dxa"/>
              <w:right w:w="80" w:type="dxa"/>
            </w:tcMar>
          </w:tcPr>
          <w:p>
            <w:pPr>
              <w:spacing w:after="0"/>
            </w:pPr>
            <w:r>
              <w:rPr>
                <w:sz w:val="16"/>
              </w:rPr>
              <w:t>Personal</w:t>
            </w:r>
          </w:p>
        </w:tc>
        <w:tc>
          <w:tcPr>
            <w:tcW w:type="dxa" w:w="1987"/>
            <w:shd w:fill="FFFFFF"/>
            <w:tcMar>
              <w:top w:w="60" w:type="dxa"/>
              <w:bottom w:w="60" w:type="dxa"/>
              <w:left w:w="80" w:type="dxa"/>
              <w:right w:w="80" w:type="dxa"/>
            </w:tcMar>
          </w:tcPr>
          <w:p>
            <w:pPr>
              <w:spacing w:after="0"/>
            </w:pPr>
            <w:r>
              <w:rPr>
                <w:sz w:val="16"/>
              </w:rPr>
              <w:t>ACAP — Capacidad de los analistas</w:t>
            </w:r>
          </w:p>
        </w:tc>
        <w:tc>
          <w:tcPr>
            <w:tcW w:type="dxa" w:w="1987"/>
            <w:shd w:fill="FFFFFF"/>
            <w:tcMar>
              <w:top w:w="60" w:type="dxa"/>
              <w:bottom w:w="60" w:type="dxa"/>
              <w:left w:w="80" w:type="dxa"/>
              <w:right w:w="80" w:type="dxa"/>
            </w:tcMar>
          </w:tcPr>
          <w:p>
            <w:pPr>
              <w:spacing w:after="0"/>
              <w:jc w:val="center"/>
            </w:pPr>
            <w:r>
              <w:rPr>
                <w:sz w:val="16"/>
              </w:rPr>
              <w:t>Alta</w:t>
            </w:r>
          </w:p>
        </w:tc>
        <w:tc>
          <w:tcPr>
            <w:tcW w:type="dxa" w:w="1987"/>
            <w:shd w:fill="FFFFFF"/>
            <w:tcMar>
              <w:top w:w="60" w:type="dxa"/>
              <w:bottom w:w="60" w:type="dxa"/>
              <w:left w:w="80" w:type="dxa"/>
              <w:right w:w="80" w:type="dxa"/>
            </w:tcMar>
          </w:tcPr>
          <w:p>
            <w:pPr>
              <w:spacing w:after="0"/>
              <w:jc w:val="center"/>
            </w:pPr>
            <w:r>
              <w:rPr>
                <w:sz w:val="16"/>
              </w:rPr>
              <w:t>0.86</w:t>
            </w:r>
          </w:p>
        </w:tc>
        <w:tc>
          <w:tcPr>
            <w:tcW w:type="dxa" w:w="1987"/>
            <w:shd w:fill="FFFFFF"/>
            <w:tcMar>
              <w:top w:w="60" w:type="dxa"/>
              <w:bottom w:w="60" w:type="dxa"/>
              <w:left w:w="80" w:type="dxa"/>
              <w:right w:w="80" w:type="dxa"/>
            </w:tcMar>
          </w:tcPr>
          <w:p>
            <w:pPr>
              <w:spacing w:after="0"/>
            </w:pPr>
            <w:r>
              <w:rPr>
                <w:sz w:val="16"/>
              </w:rPr>
              <w:t>Equipo con dominio de los requerimientos y arquitectura del sistema.</w:t>
            </w:r>
          </w:p>
        </w:tc>
      </w:tr>
      <w:tr>
        <w:tc>
          <w:tcPr>
            <w:tcW w:type="dxa" w:w="1987"/>
            <w:shd w:fill="F7FAFC"/>
            <w:tcMar>
              <w:top w:w="60" w:type="dxa"/>
              <w:bottom w:w="60" w:type="dxa"/>
              <w:left w:w="80" w:type="dxa"/>
              <w:right w:w="80" w:type="dxa"/>
            </w:tcMar>
          </w:tcPr>
          <w:p>
            <w:pPr>
              <w:spacing w:after="0"/>
            </w:pPr>
            <w:r>
              <w:rPr>
                <w:sz w:val="16"/>
              </w:rPr>
              <w:t>Personal</w:t>
            </w:r>
          </w:p>
        </w:tc>
        <w:tc>
          <w:tcPr>
            <w:tcW w:type="dxa" w:w="1987"/>
            <w:shd w:fill="F7FAFC"/>
            <w:tcMar>
              <w:top w:w="60" w:type="dxa"/>
              <w:bottom w:w="60" w:type="dxa"/>
              <w:left w:w="80" w:type="dxa"/>
              <w:right w:w="80" w:type="dxa"/>
            </w:tcMar>
          </w:tcPr>
          <w:p>
            <w:pPr>
              <w:spacing w:after="0"/>
            </w:pPr>
            <w:r>
              <w:rPr>
                <w:sz w:val="16"/>
              </w:rPr>
              <w:t>AEXP — Experiencia en la aplicación</w:t>
            </w:r>
          </w:p>
        </w:tc>
        <w:tc>
          <w:tcPr>
            <w:tcW w:type="dxa" w:w="1987"/>
            <w:shd w:fill="F7FAFC"/>
            <w:tcMar>
              <w:top w:w="60" w:type="dxa"/>
              <w:bottom w:w="60" w:type="dxa"/>
              <w:left w:w="80" w:type="dxa"/>
              <w:right w:w="80" w:type="dxa"/>
            </w:tcMar>
          </w:tcPr>
          <w:p>
            <w:pPr>
              <w:spacing w:after="0"/>
              <w:jc w:val="center"/>
            </w:pPr>
            <w:r>
              <w:rPr>
                <w:sz w:val="16"/>
              </w:rPr>
              <w:t>Nominal</w:t>
            </w:r>
          </w:p>
        </w:tc>
        <w:tc>
          <w:tcPr>
            <w:tcW w:type="dxa" w:w="1987"/>
            <w:shd w:fill="F7FAFC"/>
            <w:tcMar>
              <w:top w:w="60" w:type="dxa"/>
              <w:bottom w:w="60" w:type="dxa"/>
              <w:left w:w="80" w:type="dxa"/>
              <w:right w:w="80" w:type="dxa"/>
            </w:tcMar>
          </w:tcPr>
          <w:p>
            <w:pPr>
              <w:spacing w:after="0"/>
              <w:jc w:val="center"/>
            </w:pPr>
            <w:r>
              <w:rPr>
                <w:sz w:val="16"/>
              </w:rPr>
              <w:t>1.00</w:t>
            </w:r>
          </w:p>
        </w:tc>
        <w:tc>
          <w:tcPr>
            <w:tcW w:type="dxa" w:w="1987"/>
            <w:shd w:fill="F7FAFC"/>
            <w:tcMar>
              <w:top w:w="60" w:type="dxa"/>
              <w:bottom w:w="60" w:type="dxa"/>
              <w:left w:w="80" w:type="dxa"/>
              <w:right w:w="80" w:type="dxa"/>
            </w:tcMar>
          </w:tcPr>
          <w:p>
            <w:pPr>
              <w:spacing w:after="0"/>
            </w:pPr>
            <w:r>
              <w:rPr>
                <w:sz w:val="16"/>
              </w:rPr>
              <w:t>Experiencia media en aplicaciones de comercio electrónico y puntos de venta.</w:t>
            </w:r>
          </w:p>
        </w:tc>
      </w:tr>
      <w:tr>
        <w:tc>
          <w:tcPr>
            <w:tcW w:type="dxa" w:w="1987"/>
            <w:shd w:fill="FFFFFF"/>
            <w:tcMar>
              <w:top w:w="60" w:type="dxa"/>
              <w:bottom w:w="60" w:type="dxa"/>
              <w:left w:w="80" w:type="dxa"/>
              <w:right w:w="80" w:type="dxa"/>
            </w:tcMar>
          </w:tcPr>
          <w:p>
            <w:pPr>
              <w:spacing w:after="0"/>
            </w:pPr>
            <w:r>
              <w:rPr>
                <w:sz w:val="16"/>
              </w:rPr>
              <w:t>Personal</w:t>
            </w:r>
          </w:p>
        </w:tc>
        <w:tc>
          <w:tcPr>
            <w:tcW w:type="dxa" w:w="1987"/>
            <w:shd w:fill="FFFFFF"/>
            <w:tcMar>
              <w:top w:w="60" w:type="dxa"/>
              <w:bottom w:w="60" w:type="dxa"/>
              <w:left w:w="80" w:type="dxa"/>
              <w:right w:w="80" w:type="dxa"/>
            </w:tcMar>
          </w:tcPr>
          <w:p>
            <w:pPr>
              <w:spacing w:after="0"/>
            </w:pPr>
            <w:r>
              <w:rPr>
                <w:sz w:val="16"/>
              </w:rPr>
              <w:t>PCAP — Capacidad de los programadores</w:t>
            </w:r>
          </w:p>
        </w:tc>
        <w:tc>
          <w:tcPr>
            <w:tcW w:type="dxa" w:w="1987"/>
            <w:shd w:fill="FFFFFF"/>
            <w:tcMar>
              <w:top w:w="60" w:type="dxa"/>
              <w:bottom w:w="60" w:type="dxa"/>
              <w:left w:w="80" w:type="dxa"/>
              <w:right w:w="80" w:type="dxa"/>
            </w:tcMar>
          </w:tcPr>
          <w:p>
            <w:pPr>
              <w:spacing w:after="0"/>
              <w:jc w:val="center"/>
            </w:pPr>
            <w:r>
              <w:rPr>
                <w:sz w:val="16"/>
              </w:rPr>
              <w:t>Alta</w:t>
            </w:r>
          </w:p>
        </w:tc>
        <w:tc>
          <w:tcPr>
            <w:tcW w:type="dxa" w:w="1987"/>
            <w:shd w:fill="FFFFFF"/>
            <w:tcMar>
              <w:top w:w="60" w:type="dxa"/>
              <w:bottom w:w="60" w:type="dxa"/>
              <w:left w:w="80" w:type="dxa"/>
              <w:right w:w="80" w:type="dxa"/>
            </w:tcMar>
          </w:tcPr>
          <w:p>
            <w:pPr>
              <w:spacing w:after="0"/>
              <w:jc w:val="center"/>
            </w:pPr>
            <w:r>
              <w:rPr>
                <w:sz w:val="16"/>
              </w:rPr>
              <w:t>0.86</w:t>
            </w:r>
          </w:p>
        </w:tc>
        <w:tc>
          <w:tcPr>
            <w:tcW w:type="dxa" w:w="1987"/>
            <w:shd w:fill="FFFFFF"/>
            <w:tcMar>
              <w:top w:w="60" w:type="dxa"/>
              <w:bottom w:w="60" w:type="dxa"/>
              <w:left w:w="80" w:type="dxa"/>
              <w:right w:w="80" w:type="dxa"/>
            </w:tcMar>
          </w:tcPr>
          <w:p>
            <w:pPr>
              <w:spacing w:after="0"/>
            </w:pPr>
            <w:r>
              <w:rPr>
                <w:sz w:val="16"/>
              </w:rPr>
              <w:t>Dominio sólido en TypeScript, Vue 3, Next.js y modelado Prisma.</w:t>
            </w:r>
          </w:p>
        </w:tc>
      </w:tr>
      <w:tr>
        <w:tc>
          <w:tcPr>
            <w:tcW w:type="dxa" w:w="1987"/>
            <w:shd w:fill="F7FAFC"/>
            <w:tcMar>
              <w:top w:w="60" w:type="dxa"/>
              <w:bottom w:w="60" w:type="dxa"/>
              <w:left w:w="80" w:type="dxa"/>
              <w:right w:w="80" w:type="dxa"/>
            </w:tcMar>
          </w:tcPr>
          <w:p>
            <w:pPr>
              <w:spacing w:after="0"/>
            </w:pPr>
            <w:r>
              <w:rPr>
                <w:sz w:val="16"/>
              </w:rPr>
              <w:t>Personal</w:t>
            </w:r>
          </w:p>
        </w:tc>
        <w:tc>
          <w:tcPr>
            <w:tcW w:type="dxa" w:w="1987"/>
            <w:shd w:fill="F7FAFC"/>
            <w:tcMar>
              <w:top w:w="60" w:type="dxa"/>
              <w:bottom w:w="60" w:type="dxa"/>
              <w:left w:w="80" w:type="dxa"/>
              <w:right w:w="80" w:type="dxa"/>
            </w:tcMar>
          </w:tcPr>
          <w:p>
            <w:pPr>
              <w:spacing w:after="0"/>
            </w:pPr>
            <w:r>
              <w:rPr>
                <w:sz w:val="16"/>
              </w:rPr>
              <w:t>VEXP — Experiencia en máquina virtual</w:t>
            </w:r>
          </w:p>
        </w:tc>
        <w:tc>
          <w:tcPr>
            <w:tcW w:type="dxa" w:w="1987"/>
            <w:shd w:fill="F7FAFC"/>
            <w:tcMar>
              <w:top w:w="60" w:type="dxa"/>
              <w:bottom w:w="60" w:type="dxa"/>
              <w:left w:w="80" w:type="dxa"/>
              <w:right w:w="80" w:type="dxa"/>
            </w:tcMar>
          </w:tcPr>
          <w:p>
            <w:pPr>
              <w:spacing w:after="0"/>
              <w:jc w:val="center"/>
            </w:pPr>
            <w:r>
              <w:rPr>
                <w:sz w:val="16"/>
              </w:rPr>
              <w:t>Nominal</w:t>
            </w:r>
          </w:p>
        </w:tc>
        <w:tc>
          <w:tcPr>
            <w:tcW w:type="dxa" w:w="1987"/>
            <w:shd w:fill="F7FAFC"/>
            <w:tcMar>
              <w:top w:w="60" w:type="dxa"/>
              <w:bottom w:w="60" w:type="dxa"/>
              <w:left w:w="80" w:type="dxa"/>
              <w:right w:w="80" w:type="dxa"/>
            </w:tcMar>
          </w:tcPr>
          <w:p>
            <w:pPr>
              <w:spacing w:after="0"/>
              <w:jc w:val="center"/>
            </w:pPr>
            <w:r>
              <w:rPr>
                <w:sz w:val="16"/>
              </w:rPr>
              <w:t>1.00</w:t>
            </w:r>
          </w:p>
        </w:tc>
        <w:tc>
          <w:tcPr>
            <w:tcW w:type="dxa" w:w="1987"/>
            <w:shd w:fill="F7FAFC"/>
            <w:tcMar>
              <w:top w:w="60" w:type="dxa"/>
              <w:bottom w:w="60" w:type="dxa"/>
              <w:left w:w="80" w:type="dxa"/>
              <w:right w:w="80" w:type="dxa"/>
            </w:tcMar>
          </w:tcPr>
          <w:p>
            <w:pPr>
              <w:spacing w:after="0"/>
            </w:pPr>
            <w:r>
              <w:rPr>
                <w:sz w:val="16"/>
              </w:rPr>
              <w:t>Familiaridad estándar con entornos Linux y contenedores Docker.</w:t>
            </w:r>
          </w:p>
        </w:tc>
      </w:tr>
      <w:tr>
        <w:tc>
          <w:tcPr>
            <w:tcW w:type="dxa" w:w="1987"/>
            <w:shd w:fill="FFFFFF"/>
            <w:tcMar>
              <w:top w:w="60" w:type="dxa"/>
              <w:bottom w:w="60" w:type="dxa"/>
              <w:left w:w="80" w:type="dxa"/>
              <w:right w:w="80" w:type="dxa"/>
            </w:tcMar>
          </w:tcPr>
          <w:p>
            <w:pPr>
              <w:spacing w:after="0"/>
            </w:pPr>
            <w:r>
              <w:rPr>
                <w:sz w:val="16"/>
              </w:rPr>
              <w:t>Personal</w:t>
            </w:r>
          </w:p>
        </w:tc>
        <w:tc>
          <w:tcPr>
            <w:tcW w:type="dxa" w:w="1987"/>
            <w:shd w:fill="FFFFFF"/>
            <w:tcMar>
              <w:top w:w="60" w:type="dxa"/>
              <w:bottom w:w="60" w:type="dxa"/>
              <w:left w:w="80" w:type="dxa"/>
              <w:right w:w="80" w:type="dxa"/>
            </w:tcMar>
          </w:tcPr>
          <w:p>
            <w:pPr>
              <w:spacing w:after="0"/>
            </w:pPr>
            <w:r>
              <w:rPr>
                <w:sz w:val="16"/>
              </w:rPr>
              <w:t>LEXP — Experiencia en lenguajes de prog.</w:t>
            </w:r>
          </w:p>
        </w:tc>
        <w:tc>
          <w:tcPr>
            <w:tcW w:type="dxa" w:w="1987"/>
            <w:shd w:fill="FFFFFF"/>
            <w:tcMar>
              <w:top w:w="60" w:type="dxa"/>
              <w:bottom w:w="60" w:type="dxa"/>
              <w:left w:w="80" w:type="dxa"/>
              <w:right w:w="80" w:type="dxa"/>
            </w:tcMar>
          </w:tcPr>
          <w:p>
            <w:pPr>
              <w:spacing w:after="0"/>
              <w:jc w:val="center"/>
            </w:pPr>
            <w:r>
              <w:rPr>
                <w:sz w:val="16"/>
              </w:rPr>
              <w:t>Alta</w:t>
            </w:r>
          </w:p>
        </w:tc>
        <w:tc>
          <w:tcPr>
            <w:tcW w:type="dxa" w:w="1987"/>
            <w:shd w:fill="FFFFFF"/>
            <w:tcMar>
              <w:top w:w="60" w:type="dxa"/>
              <w:bottom w:w="60" w:type="dxa"/>
              <w:left w:w="80" w:type="dxa"/>
              <w:right w:w="80" w:type="dxa"/>
            </w:tcMar>
          </w:tcPr>
          <w:p>
            <w:pPr>
              <w:spacing w:after="0"/>
              <w:jc w:val="center"/>
            </w:pPr>
            <w:r>
              <w:rPr>
                <w:sz w:val="16"/>
              </w:rPr>
              <w:t>0.95</w:t>
            </w:r>
          </w:p>
        </w:tc>
        <w:tc>
          <w:tcPr>
            <w:tcW w:type="dxa" w:w="1987"/>
            <w:shd w:fill="FFFFFF"/>
            <w:tcMar>
              <w:top w:w="60" w:type="dxa"/>
              <w:bottom w:w="60" w:type="dxa"/>
              <w:left w:w="80" w:type="dxa"/>
              <w:right w:w="80" w:type="dxa"/>
            </w:tcMar>
          </w:tcPr>
          <w:p>
            <w:pPr>
              <w:spacing w:after="0"/>
            </w:pPr>
            <w:r>
              <w:rPr>
                <w:sz w:val="16"/>
              </w:rPr>
              <w:t>Especialización en TypeScript y desarrollo full-stack en JavaScript moderno.</w:t>
            </w:r>
          </w:p>
        </w:tc>
      </w:tr>
      <w:tr>
        <w:tc>
          <w:tcPr>
            <w:tcW w:type="dxa" w:w="1987"/>
            <w:shd w:fill="F7FAFC"/>
            <w:tcMar>
              <w:top w:w="60" w:type="dxa"/>
              <w:bottom w:w="60" w:type="dxa"/>
              <w:left w:w="80" w:type="dxa"/>
              <w:right w:w="80" w:type="dxa"/>
            </w:tcMar>
          </w:tcPr>
          <w:p>
            <w:pPr>
              <w:spacing w:after="0"/>
            </w:pPr>
            <w:r>
              <w:rPr>
                <w:sz w:val="16"/>
              </w:rPr>
              <w:t>Proyecto</w:t>
            </w:r>
          </w:p>
        </w:tc>
        <w:tc>
          <w:tcPr>
            <w:tcW w:type="dxa" w:w="1987"/>
            <w:shd w:fill="F7FAFC"/>
            <w:tcMar>
              <w:top w:w="60" w:type="dxa"/>
              <w:bottom w:w="60" w:type="dxa"/>
              <w:left w:w="80" w:type="dxa"/>
              <w:right w:w="80" w:type="dxa"/>
            </w:tcMar>
          </w:tcPr>
          <w:p>
            <w:pPr>
              <w:spacing w:after="0"/>
            </w:pPr>
            <w:r>
              <w:rPr>
                <w:sz w:val="16"/>
              </w:rPr>
              <w:t>MODP — Prácticas modernas de programación</w:t>
            </w:r>
          </w:p>
        </w:tc>
        <w:tc>
          <w:tcPr>
            <w:tcW w:type="dxa" w:w="1987"/>
            <w:shd w:fill="F7FAFC"/>
            <w:tcMar>
              <w:top w:w="60" w:type="dxa"/>
              <w:bottom w:w="60" w:type="dxa"/>
              <w:left w:w="80" w:type="dxa"/>
              <w:right w:w="80" w:type="dxa"/>
            </w:tcMar>
          </w:tcPr>
          <w:p>
            <w:pPr>
              <w:spacing w:after="0"/>
              <w:jc w:val="center"/>
            </w:pPr>
            <w:r>
              <w:rPr>
                <w:sz w:val="16"/>
              </w:rPr>
              <w:t>Muy Alta</w:t>
            </w:r>
          </w:p>
        </w:tc>
        <w:tc>
          <w:tcPr>
            <w:tcW w:type="dxa" w:w="1987"/>
            <w:shd w:fill="F7FAFC"/>
            <w:tcMar>
              <w:top w:w="60" w:type="dxa"/>
              <w:bottom w:w="60" w:type="dxa"/>
              <w:left w:w="80" w:type="dxa"/>
              <w:right w:w="80" w:type="dxa"/>
            </w:tcMar>
          </w:tcPr>
          <w:p>
            <w:pPr>
              <w:spacing w:after="0"/>
              <w:jc w:val="center"/>
            </w:pPr>
            <w:r>
              <w:rPr>
                <w:sz w:val="16"/>
              </w:rPr>
              <w:t>0.82</w:t>
            </w:r>
          </w:p>
        </w:tc>
        <w:tc>
          <w:tcPr>
            <w:tcW w:type="dxa" w:w="1987"/>
            <w:shd w:fill="F7FAFC"/>
            <w:tcMar>
              <w:top w:w="60" w:type="dxa"/>
              <w:bottom w:w="60" w:type="dxa"/>
              <w:left w:w="80" w:type="dxa"/>
              <w:right w:w="80" w:type="dxa"/>
            </w:tcMar>
          </w:tcPr>
          <w:p>
            <w:pPr>
              <w:spacing w:after="0"/>
            </w:pPr>
            <w:r>
              <w:rPr>
                <w:sz w:val="16"/>
              </w:rPr>
              <w:t>Uso intensivo de arquitectura monorepo Turborepo, TDD, linting y CI/CD.</w:t>
            </w:r>
          </w:p>
        </w:tc>
      </w:tr>
      <w:tr>
        <w:tc>
          <w:tcPr>
            <w:tcW w:type="dxa" w:w="1987"/>
            <w:shd w:fill="FFFFFF"/>
            <w:tcMar>
              <w:top w:w="60" w:type="dxa"/>
              <w:bottom w:w="60" w:type="dxa"/>
              <w:left w:w="80" w:type="dxa"/>
              <w:right w:w="80" w:type="dxa"/>
            </w:tcMar>
          </w:tcPr>
          <w:p>
            <w:pPr>
              <w:spacing w:after="0"/>
            </w:pPr>
            <w:r>
              <w:rPr>
                <w:sz w:val="16"/>
              </w:rPr>
              <w:t>Proyecto</w:t>
            </w:r>
          </w:p>
        </w:tc>
        <w:tc>
          <w:tcPr>
            <w:tcW w:type="dxa" w:w="1987"/>
            <w:shd w:fill="FFFFFF"/>
            <w:tcMar>
              <w:top w:w="60" w:type="dxa"/>
              <w:bottom w:w="60" w:type="dxa"/>
              <w:left w:w="80" w:type="dxa"/>
              <w:right w:w="80" w:type="dxa"/>
            </w:tcMar>
          </w:tcPr>
          <w:p>
            <w:pPr>
              <w:spacing w:after="0"/>
            </w:pPr>
            <w:r>
              <w:rPr>
                <w:sz w:val="16"/>
              </w:rPr>
              <w:t>TOOL — Uso de herramientas de software</w:t>
            </w:r>
          </w:p>
        </w:tc>
        <w:tc>
          <w:tcPr>
            <w:tcW w:type="dxa" w:w="1987"/>
            <w:shd w:fill="FFFFFF"/>
            <w:tcMar>
              <w:top w:w="60" w:type="dxa"/>
              <w:bottom w:w="60" w:type="dxa"/>
              <w:left w:w="80" w:type="dxa"/>
              <w:right w:w="80" w:type="dxa"/>
            </w:tcMar>
          </w:tcPr>
          <w:p>
            <w:pPr>
              <w:spacing w:after="0"/>
              <w:jc w:val="center"/>
            </w:pPr>
            <w:r>
              <w:rPr>
                <w:sz w:val="16"/>
              </w:rPr>
              <w:t>Alta</w:t>
            </w:r>
          </w:p>
        </w:tc>
        <w:tc>
          <w:tcPr>
            <w:tcW w:type="dxa" w:w="1987"/>
            <w:shd w:fill="FFFFFF"/>
            <w:tcMar>
              <w:top w:w="60" w:type="dxa"/>
              <w:bottom w:w="60" w:type="dxa"/>
              <w:left w:w="80" w:type="dxa"/>
              <w:right w:w="80" w:type="dxa"/>
            </w:tcMar>
          </w:tcPr>
          <w:p>
            <w:pPr>
              <w:spacing w:after="0"/>
              <w:jc w:val="center"/>
            </w:pPr>
            <w:r>
              <w:rPr>
                <w:sz w:val="16"/>
              </w:rPr>
              <w:t>0.91</w:t>
            </w:r>
          </w:p>
        </w:tc>
        <w:tc>
          <w:tcPr>
            <w:tcW w:type="dxa" w:w="1987"/>
            <w:shd w:fill="FFFFFF"/>
            <w:tcMar>
              <w:top w:w="60" w:type="dxa"/>
              <w:bottom w:w="60" w:type="dxa"/>
              <w:left w:w="80" w:type="dxa"/>
              <w:right w:w="80" w:type="dxa"/>
            </w:tcMar>
          </w:tcPr>
          <w:p>
            <w:pPr>
              <w:spacing w:after="0"/>
            </w:pPr>
            <w:r>
              <w:rPr>
                <w:sz w:val="16"/>
              </w:rPr>
              <w:t>Herramientas avanzadas: Prisma Studio, Playwright, Vitest y RabbitMQ UI.</w:t>
            </w:r>
          </w:p>
        </w:tc>
      </w:tr>
      <w:tr>
        <w:tc>
          <w:tcPr>
            <w:tcW w:type="dxa" w:w="1987"/>
            <w:shd w:fill="F7FAFC"/>
            <w:tcMar>
              <w:top w:w="60" w:type="dxa"/>
              <w:bottom w:w="60" w:type="dxa"/>
              <w:left w:w="80" w:type="dxa"/>
              <w:right w:w="80" w:type="dxa"/>
            </w:tcMar>
          </w:tcPr>
          <w:p>
            <w:pPr>
              <w:spacing w:after="0"/>
            </w:pPr>
            <w:r>
              <w:rPr>
                <w:sz w:val="16"/>
              </w:rPr>
              <w:t>Proyecto</w:t>
            </w:r>
          </w:p>
        </w:tc>
        <w:tc>
          <w:tcPr>
            <w:tcW w:type="dxa" w:w="1987"/>
            <w:shd w:fill="F7FAFC"/>
            <w:tcMar>
              <w:top w:w="60" w:type="dxa"/>
              <w:bottom w:w="60" w:type="dxa"/>
              <w:left w:w="80" w:type="dxa"/>
              <w:right w:w="80" w:type="dxa"/>
            </w:tcMar>
          </w:tcPr>
          <w:p>
            <w:pPr>
              <w:spacing w:after="0"/>
            </w:pPr>
            <w:r>
              <w:rPr>
                <w:sz w:val="16"/>
              </w:rPr>
              <w:t>SCED — Plazo de desarrollo requerido</w:t>
            </w:r>
          </w:p>
        </w:tc>
        <w:tc>
          <w:tcPr>
            <w:tcW w:type="dxa" w:w="1987"/>
            <w:shd w:fill="F7FAFC"/>
            <w:tcMar>
              <w:top w:w="60" w:type="dxa"/>
              <w:bottom w:w="60" w:type="dxa"/>
              <w:left w:w="80" w:type="dxa"/>
              <w:right w:w="80" w:type="dxa"/>
            </w:tcMar>
          </w:tcPr>
          <w:p>
            <w:pPr>
              <w:spacing w:after="0"/>
              <w:jc w:val="center"/>
            </w:pPr>
            <w:r>
              <w:rPr>
                <w:sz w:val="16"/>
              </w:rPr>
              <w:t>Nominal*</w:t>
            </w:r>
          </w:p>
        </w:tc>
        <w:tc>
          <w:tcPr>
            <w:tcW w:type="dxa" w:w="1987"/>
            <w:shd w:fill="F7FAFC"/>
            <w:tcMar>
              <w:top w:w="60" w:type="dxa"/>
              <w:bottom w:w="60" w:type="dxa"/>
              <w:left w:w="80" w:type="dxa"/>
              <w:right w:w="80" w:type="dxa"/>
            </w:tcMar>
          </w:tcPr>
          <w:p>
            <w:pPr>
              <w:spacing w:after="0"/>
              <w:jc w:val="center"/>
            </w:pPr>
            <w:r>
              <w:rPr>
                <w:sz w:val="16"/>
              </w:rPr>
              <w:t>1.00</w:t>
            </w:r>
          </w:p>
        </w:tc>
        <w:tc>
          <w:tcPr>
            <w:tcW w:type="dxa" w:w="1987"/>
            <w:shd w:fill="F7FAFC"/>
            <w:tcMar>
              <w:top w:w="60" w:type="dxa"/>
              <w:bottom w:w="60" w:type="dxa"/>
              <w:left w:w="80" w:type="dxa"/>
              <w:right w:w="80" w:type="dxa"/>
            </w:tcMar>
          </w:tcPr>
          <w:p>
            <w:pPr>
              <w:spacing w:after="0"/>
            </w:pPr>
            <w:r>
              <w:rPr>
                <w:sz w:val="16"/>
              </w:rPr>
              <w:t>Se evalúa nominal (1.00) para aislar tecnología y equipo (ver análisis técnico).</w:t>
            </w:r>
          </w:p>
        </w:tc>
      </w:tr>
      <w:tr>
        <w:tc>
          <w:tcPr>
            <w:tcW w:type="dxa" w:w="1987"/>
            <w:shd w:fill="EDF2F7"/>
            <w:tcMar>
              <w:top w:w="60" w:type="dxa"/>
              <w:bottom w:w="60" w:type="dxa"/>
              <w:left w:w="80" w:type="dxa"/>
              <w:right w:w="80" w:type="dxa"/>
            </w:tcMar>
          </w:tcPr>
          <w:p>
            <w:pPr>
              <w:spacing w:after="0"/>
            </w:pPr>
            <w:r>
              <w:rPr>
                <w:b/>
                <w:color w:val="1B365D"/>
                <w:sz w:val="16"/>
              </w:rPr>
              <w:t>TOTAL</w:t>
            </w:r>
          </w:p>
        </w:tc>
        <w:tc>
          <w:tcPr>
            <w:tcW w:type="dxa" w:w="1987"/>
            <w:shd w:fill="EDF2F7"/>
            <w:tcMar>
              <w:top w:w="60" w:type="dxa"/>
              <w:bottom w:w="60" w:type="dxa"/>
              <w:left w:w="80" w:type="dxa"/>
              <w:right w:w="80" w:type="dxa"/>
            </w:tcMar>
          </w:tcPr>
          <w:p>
            <w:pPr>
              <w:spacing w:after="0"/>
            </w:pPr>
            <w:r>
              <w:rPr>
                <w:b/>
                <w:color w:val="1B365D"/>
                <w:sz w:val="16"/>
              </w:rPr>
              <w:t>PRODUCTO DE LOS 15 FACTORES (EAF)</w:t>
            </w:r>
          </w:p>
        </w:tc>
        <w:tc>
          <w:tcPr>
            <w:tcW w:type="dxa" w:w="1987"/>
            <w:shd w:fill="EDF2F7"/>
            <w:tcMar>
              <w:top w:w="60" w:type="dxa"/>
              <w:bottom w:w="60" w:type="dxa"/>
              <w:left w:w="80" w:type="dxa"/>
              <w:right w:w="80" w:type="dxa"/>
            </w:tcMar>
          </w:tcPr>
          <w:p>
            <w:pPr>
              <w:spacing w:after="0"/>
              <w:jc w:val="center"/>
            </w:pPr>
            <w:r>
              <w:rPr>
                <w:b/>
                <w:color w:val="1B365D"/>
                <w:sz w:val="16"/>
              </w:rPr>
              <w:t>-</w:t>
            </w:r>
          </w:p>
        </w:tc>
        <w:tc>
          <w:tcPr>
            <w:tcW w:type="dxa" w:w="1987"/>
            <w:shd w:fill="EDF2F7"/>
            <w:tcMar>
              <w:top w:w="60" w:type="dxa"/>
              <w:bottom w:w="60" w:type="dxa"/>
              <w:left w:w="80" w:type="dxa"/>
              <w:right w:w="80" w:type="dxa"/>
            </w:tcMar>
          </w:tcPr>
          <w:p>
            <w:pPr>
              <w:spacing w:after="0"/>
              <w:jc w:val="center"/>
            </w:pPr>
            <w:r>
              <w:rPr>
                <w:b/>
                <w:color w:val="1B365D"/>
                <w:sz w:val="16"/>
              </w:rPr>
              <w:t>0.6032</w:t>
            </w:r>
          </w:p>
        </w:tc>
        <w:tc>
          <w:tcPr>
            <w:tcW w:type="dxa" w:w="1987"/>
            <w:shd w:fill="EDF2F7"/>
            <w:tcMar>
              <w:top w:w="60" w:type="dxa"/>
              <w:bottom w:w="60" w:type="dxa"/>
              <w:left w:w="80" w:type="dxa"/>
              <w:right w:w="80" w:type="dxa"/>
            </w:tcMar>
          </w:tcPr>
          <w:p>
            <w:pPr>
              <w:spacing w:after="0"/>
            </w:pPr>
            <w:r>
              <w:rPr>
                <w:b/>
                <w:color w:val="1B365D"/>
                <w:sz w:val="16"/>
              </w:rPr>
              <w:t>Factor de Ajuste de Esfuerzo neto (representa un ahorro del 39.7% frente al nominal).</w:t>
            </w:r>
          </w:p>
        </w:tc>
      </w:tr>
    </w:tbl>
    <w:p>
      <w:pPr>
        <w:keepNext/>
        <w:spacing w:before="200" w:after="60"/>
      </w:pPr>
      <w:r>
        <w:rPr>
          <w:rFonts w:ascii="Calibri" w:hAnsi="Calibri"/>
          <w:b/>
          <w:color w:val="4A5568"/>
          <w:sz w:val="22"/>
        </w:rPr>
        <w:t>4.1. Cálculos de COCOMO intermedio y análisis de SCED</w:t>
      </w:r>
    </w:p>
    <w:p>
      <w:pPr>
        <w:spacing w:after="120"/>
        <w:ind w:left="288"/>
      </w:pPr>
      <w:r>
        <w:rPr>
          <w:color w:val="4A5568"/>
          <w:sz w:val="18"/>
        </w:rPr>
        <w:t>• Cálculo aritmético del factor EAF:</w:t>
        <w:br/>
        <w:t xml:space="preserve">  EAF = 1.15 × 1.00 × 1.15 × 1.00 × 1.00 × 0.87 × 1.00 × 0.86 × 1.00 × 0.86 × 1.00 × 0.95 × 0.82 × 0.91 × 1.00 = 0.6032</w:t>
        <w:br/>
        <w:br/>
        <w:t>• Esfuerzo ajustado (PM_ajustado):</w:t>
        <w:br/>
        <w:t xml:space="preserve">  PM_ajustado = EAF × PM_nominal = 0.60324 × 98.0767 = 59.1638 PM ≈ 59.16 Personas-Mes.</w:t>
        <w:br/>
        <w:t xml:space="preserve">  (Reducción de 38.91 personas-mes respecto al modelo básico, ahorro del 39.7%).</w:t>
        <w:br/>
        <w:br/>
        <w:t>• Tiempo de desarrollo ajustado (TDEV_ajustado):</w:t>
        <w:br/>
        <w:t xml:space="preserve">  (59.1638)^0.35 = 4.1708</w:t>
        <w:br/>
        <w:t xml:space="preserve">  TDEV_ajustado = 2.50 × 4.1708 = 10.4270 meses ≈ 10.43 Meses de calendario (~45 semanas).</w:t>
        <w:br/>
        <w:br/>
        <w:t>• Personal promedio (NP) y productividad ajustada:</w:t>
        <w:br/>
        <w:t xml:space="preserve">  NP = 59.1638 / 10.4270 = 5.67 personas a tiempo completo.</w:t>
        <w:br/>
        <w:t xml:space="preserve">  Productividad ajustada = 22,500 LOC / 59.16 PM = 380.30 LOC / Persona-Mes (+65.8% vs. básico).</w:t>
        <w:br/>
        <w:br/>
        <w:t>• Costo de mano de obra ajustado (Tarifa base: $21,058.82 MXN/PM):</w:t>
        <w:br/>
        <w:t xml:space="preserve">  Costo = 59.1638 PM × $21,058.82 MXN/PM = $1,245,920.89 MXN.</w:t>
      </w:r>
    </w:p>
    <w:p>
      <w:pPr>
        <w:spacing w:after="160"/>
      </w:pPr>
      <w:r>
        <w:rPr>
          <w:i/>
          <w:color w:val="4A5568"/>
          <w:sz w:val="17"/>
        </w:rPr>
        <w:t>*Análisis técnico sobre la restricción de plazo (SCED): En COCOMO 81, el tiempo nominal estimado para este proyecto es de 10.43 meses. Desarrollar el sistema en 4 meses (16 semanas) representaría comprimir el calendario al ~38% del plazo nominal. Barry Boehm (1981) estableció explícitamente que comprimir un cronograma por debajo del 75% del plazo nominal no es alcanzable dentro de las dinámicas de desarrollo modeladas por COCOMO. Si en el ejercicio se forzara el factor de compresión máxima disponible en las tablas (SCED = Muy Bajo, multiplicador 1.23), el EAF subiría a 0.7420 y el esfuerzo estimado a 72.77 PM, con un costo aproximado de ≈ $1.53 M MXN. Aun así, dado que 4 meses es una compresión mucho más agresiva que el 75%, el multiplicador 1.23 en realidad subestima la penalización que el modelo clásico asignaría. Por ello, se mantiene SCED nominal (1.00) en el cálculo base con el fin de aislar y evaluar objetivamente el efecto exclusivo de las herramientas y el perfil técnico del equipo sobre el esfuerzo.</w:t>
      </w:r>
    </w:p>
    <w:p>
      <w:r>
        <w:br w:type="page"/>
      </w:r>
    </w:p>
    <w:p>
      <w:pPr>
        <w:keepNext/>
        <w:spacing w:before="280" w:after="80"/>
      </w:pPr>
      <w:r>
        <w:rPr>
          <w:rFonts w:ascii="Calibri" w:hAnsi="Calibri"/>
          <w:b/>
          <w:color w:val="1B365D"/>
          <w:sz w:val="26"/>
        </w:rPr>
        <w:t>5. Tabla comparativa de las tres estimaciones</w:t>
      </w:r>
    </w:p>
    <w:p>
      <w:pPr>
        <w:spacing w:after="80"/>
      </w:pPr>
      <w:r>
        <w:t>A continuación se presenta la matriz comparativa que contrasta las dimensiones operativas, económicas y de ingeniería entre el presupuesto inicial ascendente y los modelos paramétricos de Boehm:</w:t>
      </w:r>
    </w:p>
    <w:tbl>
      <w:tblPr>
        <w:tblW w:type="auto" w:w="0"/>
        <w:jc w:val="center"/>
        <w:tblLook w:firstColumn="1" w:firstRow="1" w:lastColumn="0" w:lastRow="0" w:noHBand="0" w:noVBand="1" w:val="04A0"/>
        <w:tblBorders>
          <w:top w:val="single" w:sz="4" w:space="0" w:color="1B365D"/>
          <w:bottom w:val="single" w:sz="4" w:space="0" w:color="1B365D"/>
          <w:left w:val="none"/>
          <w:right w:val="none"/>
          <w:insideH w:val="single" w:sz="4" w:space="0" w:color="1B365D"/>
          <w:insideV w:val="none"/>
        </w:tblBorders>
      </w:tblPr>
      <w:tblGrid>
        <w:gridCol w:w="2484"/>
        <w:gridCol w:w="2484"/>
        <w:gridCol w:w="2484"/>
        <w:gridCol w:w="2484"/>
      </w:tblGrid>
      <w:tr>
        <w:tc>
          <w:tcPr>
            <w:tcW w:type="dxa" w:w="2484"/>
            <w:shd w:fill="1B365D"/>
            <w:tcMar>
              <w:top w:w="80" w:type="dxa"/>
              <w:bottom w:w="80" w:type="dxa"/>
              <w:left w:w="80" w:type="dxa"/>
              <w:right w:w="80" w:type="dxa"/>
            </w:tcMar>
          </w:tcPr>
          <w:p>
            <w:pPr>
              <w:spacing w:after="0"/>
            </w:pPr>
            <w:r>
              <w:rPr>
                <w:b/>
                <w:color w:val="FFFFFF"/>
                <w:sz w:val="16"/>
              </w:rPr>
              <w:t>Dimensión / Criterio</w:t>
            </w:r>
          </w:p>
        </w:tc>
        <w:tc>
          <w:tcPr>
            <w:tcW w:type="dxa" w:w="2484"/>
            <w:shd w:fill="1B365D"/>
            <w:tcMar>
              <w:top w:w="80" w:type="dxa"/>
              <w:bottom w:w="80" w:type="dxa"/>
              <w:left w:w="80" w:type="dxa"/>
              <w:right w:w="80" w:type="dxa"/>
            </w:tcMar>
          </w:tcPr>
          <w:p>
            <w:pPr>
              <w:spacing w:after="0"/>
              <w:jc w:val="center"/>
            </w:pPr>
            <w:r>
              <w:rPr>
                <w:b/>
                <w:color w:val="FFFFFF"/>
                <w:sz w:val="16"/>
              </w:rPr>
              <w:t>1. Presupuesto inicial (WBS)</w:t>
            </w:r>
          </w:p>
        </w:tc>
        <w:tc>
          <w:tcPr>
            <w:tcW w:type="dxa" w:w="2484"/>
            <w:shd w:fill="1B365D"/>
            <w:tcMar>
              <w:top w:w="80" w:type="dxa"/>
              <w:bottom w:w="80" w:type="dxa"/>
              <w:left w:w="80" w:type="dxa"/>
              <w:right w:w="80" w:type="dxa"/>
            </w:tcMar>
          </w:tcPr>
          <w:p>
            <w:pPr>
              <w:spacing w:after="0"/>
              <w:jc w:val="center"/>
            </w:pPr>
            <w:r>
              <w:rPr>
                <w:b/>
                <w:color w:val="FFFFFF"/>
                <w:sz w:val="16"/>
              </w:rPr>
              <w:t>2. COCOMO básico (Boehm, 1981)</w:t>
            </w:r>
          </w:p>
        </w:tc>
        <w:tc>
          <w:tcPr>
            <w:tcW w:type="dxa" w:w="2484"/>
            <w:shd w:fill="1B365D"/>
            <w:tcMar>
              <w:top w:w="80" w:type="dxa"/>
              <w:bottom w:w="80" w:type="dxa"/>
              <w:left w:w="80" w:type="dxa"/>
              <w:right w:w="80" w:type="dxa"/>
            </w:tcMar>
          </w:tcPr>
          <w:p>
            <w:pPr>
              <w:spacing w:after="0"/>
              <w:jc w:val="center"/>
            </w:pPr>
            <w:r>
              <w:rPr>
                <w:b/>
                <w:color w:val="FFFFFF"/>
                <w:sz w:val="16"/>
              </w:rPr>
              <w:t>3. COCOMO intermedio (Boehm, 1981)</w:t>
            </w:r>
          </w:p>
        </w:tc>
      </w:tr>
      <w:tr>
        <w:tc>
          <w:tcPr>
            <w:tcW w:type="dxa" w:w="2484"/>
            <w:shd w:fill="F7FAFC"/>
            <w:tcMar>
              <w:top w:w="60" w:type="dxa"/>
              <w:bottom w:w="60" w:type="dxa"/>
              <w:left w:w="70" w:type="dxa"/>
              <w:right w:w="70" w:type="dxa"/>
            </w:tcMar>
          </w:tcPr>
          <w:p>
            <w:pPr>
              <w:spacing w:after="0"/>
            </w:pPr>
            <w:r>
              <w:rPr>
                <w:sz w:val="15"/>
              </w:rPr>
              <w:t>Filosofía y enfoque</w:t>
            </w:r>
          </w:p>
        </w:tc>
        <w:tc>
          <w:tcPr>
            <w:tcW w:type="dxa" w:w="2484"/>
            <w:shd w:fill="F7FAFC"/>
            <w:tcMar>
              <w:top w:w="60" w:type="dxa"/>
              <w:bottom w:w="60" w:type="dxa"/>
              <w:left w:w="70" w:type="dxa"/>
              <w:right w:w="70" w:type="dxa"/>
            </w:tcMar>
          </w:tcPr>
          <w:p>
            <w:pPr>
              <w:spacing w:after="0"/>
            </w:pPr>
            <w:r>
              <w:rPr>
                <w:sz w:val="15"/>
              </w:rPr>
              <w:t>Bottom-Up (Ascendente): Descomposición analítica en paquetes de trabajo y asignación de horas/perfiles (PMI, 2019).</w:t>
            </w:r>
          </w:p>
        </w:tc>
        <w:tc>
          <w:tcPr>
            <w:tcW w:type="dxa" w:w="2484"/>
            <w:shd w:fill="F7FAFC"/>
            <w:tcMar>
              <w:top w:w="60" w:type="dxa"/>
              <w:bottom w:w="60" w:type="dxa"/>
              <w:left w:w="70" w:type="dxa"/>
              <w:right w:w="70" w:type="dxa"/>
            </w:tcMar>
          </w:tcPr>
          <w:p>
            <w:pPr>
              <w:spacing w:after="0"/>
            </w:pPr>
            <w:r>
              <w:rPr>
                <w:sz w:val="15"/>
              </w:rPr>
              <w:t>Paramétrico: Modelo empírico basado estrictamente en volumen de líneas de código fuente (KLOC; Boehm, 1981).</w:t>
            </w:r>
          </w:p>
        </w:tc>
        <w:tc>
          <w:tcPr>
            <w:tcW w:type="dxa" w:w="2484"/>
            <w:shd w:fill="F7FAFC"/>
            <w:tcMar>
              <w:top w:w="60" w:type="dxa"/>
              <w:bottom w:w="60" w:type="dxa"/>
              <w:left w:w="70" w:type="dxa"/>
              <w:right w:w="70" w:type="dxa"/>
            </w:tcMar>
          </w:tcPr>
          <w:p>
            <w:pPr>
              <w:spacing w:after="0"/>
            </w:pPr>
            <w:r>
              <w:rPr>
                <w:sz w:val="15"/>
              </w:rPr>
              <w:t>Paramétrico calibrado: Modelo empírico modificado por 15 conductores de coste de contexto (EAF; Boehm, 1981).</w:t>
            </w:r>
          </w:p>
        </w:tc>
      </w:tr>
      <w:tr>
        <w:tc>
          <w:tcPr>
            <w:tcW w:type="dxa" w:w="2484"/>
            <w:shd w:fill="FFFFFF"/>
            <w:tcMar>
              <w:top w:w="60" w:type="dxa"/>
              <w:bottom w:w="60" w:type="dxa"/>
              <w:left w:w="70" w:type="dxa"/>
              <w:right w:w="70" w:type="dxa"/>
            </w:tcMar>
          </w:tcPr>
          <w:p>
            <w:pPr>
              <w:spacing w:after="0"/>
            </w:pPr>
            <w:r>
              <w:rPr>
                <w:sz w:val="15"/>
              </w:rPr>
              <w:t>Variable primaria de entrada</w:t>
            </w:r>
          </w:p>
        </w:tc>
        <w:tc>
          <w:tcPr>
            <w:tcW w:type="dxa" w:w="2484"/>
            <w:shd w:fill="FFFFFF"/>
            <w:tcMar>
              <w:top w:w="60" w:type="dxa"/>
              <w:bottom w:w="60" w:type="dxa"/>
              <w:left w:w="70" w:type="dxa"/>
              <w:right w:w="70" w:type="dxa"/>
            </w:tcMar>
          </w:tcPr>
          <w:p>
            <w:pPr>
              <w:spacing w:after="0"/>
            </w:pPr>
            <w:r>
              <w:rPr>
                <w:sz w:val="15"/>
              </w:rPr>
              <w:t>Horas por rol técnico, requerimientos de hardware, servicios Cloud y reserva de riesgos.</w:t>
            </w:r>
          </w:p>
        </w:tc>
        <w:tc>
          <w:tcPr>
            <w:tcW w:type="dxa" w:w="2484"/>
            <w:shd w:fill="FFFFFF"/>
            <w:tcMar>
              <w:top w:w="60" w:type="dxa"/>
              <w:bottom w:w="60" w:type="dxa"/>
              <w:left w:w="70" w:type="dxa"/>
              <w:right w:w="70" w:type="dxa"/>
            </w:tcMar>
          </w:tcPr>
          <w:p>
            <w:pPr>
              <w:spacing w:after="0"/>
            </w:pPr>
            <w:r>
              <w:rPr>
                <w:sz w:val="15"/>
              </w:rPr>
              <w:t>Tamaño del software en KLOC (22.5 KLOC) y modo de desarrollo (Semiacoplado).</w:t>
            </w:r>
          </w:p>
        </w:tc>
        <w:tc>
          <w:tcPr>
            <w:tcW w:type="dxa" w:w="2484"/>
            <w:shd w:fill="FFFFFF"/>
            <w:tcMar>
              <w:top w:w="60" w:type="dxa"/>
              <w:bottom w:w="60" w:type="dxa"/>
              <w:left w:w="70" w:type="dxa"/>
              <w:right w:w="70" w:type="dxa"/>
            </w:tcMar>
          </w:tcPr>
          <w:p>
            <w:pPr>
              <w:spacing w:after="0"/>
            </w:pPr>
            <w:r>
              <w:rPr>
                <w:sz w:val="15"/>
              </w:rPr>
              <w:t>Tamaño (22.5 KLOC), modo Semiacoplado y vector de 15 factores de coste (EAF = 0.6032).</w:t>
            </w:r>
          </w:p>
        </w:tc>
      </w:tr>
      <w:tr>
        <w:tc>
          <w:tcPr>
            <w:tcW w:type="dxa" w:w="2484"/>
            <w:shd w:fill="F7FAFC"/>
            <w:tcMar>
              <w:top w:w="60" w:type="dxa"/>
              <w:bottom w:w="60" w:type="dxa"/>
              <w:left w:w="70" w:type="dxa"/>
              <w:right w:w="70" w:type="dxa"/>
            </w:tcMar>
          </w:tcPr>
          <w:p>
            <w:pPr>
              <w:spacing w:after="0"/>
            </w:pPr>
            <w:r>
              <w:rPr>
                <w:sz w:val="15"/>
              </w:rPr>
              <w:t>Esfuerzo estimado (PM)</w:t>
            </w:r>
          </w:p>
        </w:tc>
        <w:tc>
          <w:tcPr>
            <w:tcW w:type="dxa" w:w="2484"/>
            <w:shd w:fill="F7FAFC"/>
            <w:tcMar>
              <w:top w:w="60" w:type="dxa"/>
              <w:bottom w:w="60" w:type="dxa"/>
              <w:left w:w="70" w:type="dxa"/>
              <w:right w:w="70" w:type="dxa"/>
            </w:tcMar>
          </w:tcPr>
          <w:p>
            <w:pPr>
              <w:spacing w:after="0"/>
            </w:pPr>
            <w:r>
              <w:rPr>
                <w:sz w:val="15"/>
              </w:rPr>
              <w:t>17.00 Personas-Mes (2,720 horas de desarrollo planeadas).</w:t>
            </w:r>
          </w:p>
        </w:tc>
        <w:tc>
          <w:tcPr>
            <w:tcW w:type="dxa" w:w="2484"/>
            <w:shd w:fill="F7FAFC"/>
            <w:tcMar>
              <w:top w:w="60" w:type="dxa"/>
              <w:bottom w:w="60" w:type="dxa"/>
              <w:left w:w="70" w:type="dxa"/>
              <w:right w:w="70" w:type="dxa"/>
            </w:tcMar>
          </w:tcPr>
          <w:p>
            <w:pPr>
              <w:spacing w:after="0"/>
            </w:pPr>
            <w:r>
              <w:rPr>
                <w:sz w:val="15"/>
              </w:rPr>
              <w:t>98.08 Personas-Mes (+476.9% respecto al plan WBS).</w:t>
            </w:r>
          </w:p>
        </w:tc>
        <w:tc>
          <w:tcPr>
            <w:tcW w:type="dxa" w:w="2484"/>
            <w:shd w:fill="F7FAFC"/>
            <w:tcMar>
              <w:top w:w="60" w:type="dxa"/>
              <w:bottom w:w="60" w:type="dxa"/>
              <w:left w:w="70" w:type="dxa"/>
              <w:right w:w="70" w:type="dxa"/>
            </w:tcMar>
          </w:tcPr>
          <w:p>
            <w:pPr>
              <w:spacing w:after="0"/>
            </w:pPr>
            <w:r>
              <w:rPr>
                <w:sz w:val="15"/>
              </w:rPr>
              <w:t>59.16 Personas-Mes (Ahorro del 39.7% frente al básico).</w:t>
            </w:r>
          </w:p>
        </w:tc>
      </w:tr>
      <w:tr>
        <w:tc>
          <w:tcPr>
            <w:tcW w:type="dxa" w:w="2484"/>
            <w:shd w:fill="FFFFFF"/>
            <w:tcMar>
              <w:top w:w="60" w:type="dxa"/>
              <w:bottom w:w="60" w:type="dxa"/>
              <w:left w:w="70" w:type="dxa"/>
              <w:right w:w="70" w:type="dxa"/>
            </w:tcMar>
          </w:tcPr>
          <w:p>
            <w:pPr>
              <w:spacing w:after="0"/>
            </w:pPr>
            <w:r>
              <w:rPr>
                <w:sz w:val="15"/>
              </w:rPr>
              <w:t>Plazo de calendario (TDEV)</w:t>
            </w:r>
          </w:p>
        </w:tc>
        <w:tc>
          <w:tcPr>
            <w:tcW w:type="dxa" w:w="2484"/>
            <w:shd w:fill="FFFFFF"/>
            <w:tcMar>
              <w:top w:w="60" w:type="dxa"/>
              <w:bottom w:w="60" w:type="dxa"/>
              <w:left w:w="70" w:type="dxa"/>
              <w:right w:w="70" w:type="dxa"/>
            </w:tcMar>
          </w:tcPr>
          <w:p>
            <w:pPr>
              <w:spacing w:after="0"/>
            </w:pPr>
            <w:r>
              <w:rPr>
                <w:sz w:val="15"/>
              </w:rPr>
              <w:t>4.00 Meses (16 semanas / 8 sprints quincenales).</w:t>
            </w:r>
          </w:p>
        </w:tc>
        <w:tc>
          <w:tcPr>
            <w:tcW w:type="dxa" w:w="2484"/>
            <w:shd w:fill="FFFFFF"/>
            <w:tcMar>
              <w:top w:w="60" w:type="dxa"/>
              <w:bottom w:w="60" w:type="dxa"/>
              <w:left w:w="70" w:type="dxa"/>
              <w:right w:w="70" w:type="dxa"/>
            </w:tcMar>
          </w:tcPr>
          <w:p>
            <w:pPr>
              <w:spacing w:after="0"/>
            </w:pPr>
            <w:r>
              <w:rPr>
                <w:sz w:val="15"/>
              </w:rPr>
              <w:t>12.44 Meses (~54 semanas de calendario).</w:t>
            </w:r>
          </w:p>
        </w:tc>
        <w:tc>
          <w:tcPr>
            <w:tcW w:type="dxa" w:w="2484"/>
            <w:shd w:fill="FFFFFF"/>
            <w:tcMar>
              <w:top w:w="60" w:type="dxa"/>
              <w:bottom w:w="60" w:type="dxa"/>
              <w:left w:w="70" w:type="dxa"/>
              <w:right w:w="70" w:type="dxa"/>
            </w:tcMar>
          </w:tcPr>
          <w:p>
            <w:pPr>
              <w:spacing w:after="0"/>
            </w:pPr>
            <w:r>
              <w:rPr>
                <w:sz w:val="15"/>
              </w:rPr>
              <w:t>10.43 Meses (~45 semanas de calendario).</w:t>
            </w:r>
          </w:p>
        </w:tc>
      </w:tr>
      <w:tr>
        <w:tc>
          <w:tcPr>
            <w:tcW w:type="dxa" w:w="2484"/>
            <w:shd w:fill="F7FAFC"/>
            <w:tcMar>
              <w:top w:w="60" w:type="dxa"/>
              <w:bottom w:w="60" w:type="dxa"/>
              <w:left w:w="70" w:type="dxa"/>
              <w:right w:w="70" w:type="dxa"/>
            </w:tcMar>
          </w:tcPr>
          <w:p>
            <w:pPr>
              <w:spacing w:after="0"/>
            </w:pPr>
            <w:r>
              <w:rPr>
                <w:sz w:val="15"/>
              </w:rPr>
              <w:t>Personal promedio (NP)</w:t>
            </w:r>
          </w:p>
        </w:tc>
        <w:tc>
          <w:tcPr>
            <w:tcW w:type="dxa" w:w="2484"/>
            <w:shd w:fill="F7FAFC"/>
            <w:tcMar>
              <w:top w:w="60" w:type="dxa"/>
              <w:bottom w:w="60" w:type="dxa"/>
              <w:left w:w="70" w:type="dxa"/>
              <w:right w:w="70" w:type="dxa"/>
            </w:tcMar>
          </w:tcPr>
          <w:p>
            <w:pPr>
              <w:spacing w:after="0"/>
            </w:pPr>
            <w:r>
              <w:rPr>
                <w:sz w:val="15"/>
              </w:rPr>
              <w:t>4.25 Desarrolladores (Equipo planeado: 5 roles técnicos).</w:t>
            </w:r>
          </w:p>
        </w:tc>
        <w:tc>
          <w:tcPr>
            <w:tcW w:type="dxa" w:w="2484"/>
            <w:shd w:fill="F7FAFC"/>
            <w:tcMar>
              <w:top w:w="60" w:type="dxa"/>
              <w:bottom w:w="60" w:type="dxa"/>
              <w:left w:w="70" w:type="dxa"/>
              <w:right w:w="70" w:type="dxa"/>
            </w:tcMar>
          </w:tcPr>
          <w:p>
            <w:pPr>
              <w:spacing w:after="0"/>
            </w:pPr>
            <w:r>
              <w:rPr>
                <w:sz w:val="15"/>
              </w:rPr>
              <w:t>7.88 Desarrolladores (Riesgo de sobrecarga comunicativa; Brooks, 1975).</w:t>
            </w:r>
          </w:p>
        </w:tc>
        <w:tc>
          <w:tcPr>
            <w:tcW w:type="dxa" w:w="2484"/>
            <w:shd w:fill="F7FAFC"/>
            <w:tcMar>
              <w:top w:w="60" w:type="dxa"/>
              <w:bottom w:w="60" w:type="dxa"/>
              <w:left w:w="70" w:type="dxa"/>
              <w:right w:w="70" w:type="dxa"/>
            </w:tcMar>
          </w:tcPr>
          <w:p>
            <w:pPr>
              <w:spacing w:after="0"/>
            </w:pPr>
            <w:r>
              <w:rPr>
                <w:sz w:val="15"/>
              </w:rPr>
              <w:t>5.67 Desarrolladores (Equipo mediano estructurado).</w:t>
            </w:r>
          </w:p>
        </w:tc>
      </w:tr>
      <w:tr>
        <w:tc>
          <w:tcPr>
            <w:tcW w:type="dxa" w:w="2484"/>
            <w:shd w:fill="FFFFFF"/>
            <w:tcMar>
              <w:top w:w="60" w:type="dxa"/>
              <w:bottom w:w="60" w:type="dxa"/>
              <w:left w:w="70" w:type="dxa"/>
              <w:right w:w="70" w:type="dxa"/>
            </w:tcMar>
          </w:tcPr>
          <w:p>
            <w:pPr>
              <w:spacing w:after="0"/>
            </w:pPr>
            <w:r>
              <w:rPr>
                <w:sz w:val="15"/>
              </w:rPr>
              <w:t>Productividad proyectada</w:t>
            </w:r>
          </w:p>
        </w:tc>
        <w:tc>
          <w:tcPr>
            <w:tcW w:type="dxa" w:w="2484"/>
            <w:shd w:fill="FFFFFF"/>
            <w:tcMar>
              <w:top w:w="60" w:type="dxa"/>
              <w:bottom w:w="60" w:type="dxa"/>
              <w:left w:w="70" w:type="dxa"/>
              <w:right w:w="70" w:type="dxa"/>
            </w:tcMar>
          </w:tcPr>
          <w:p>
            <w:pPr>
              <w:spacing w:after="0"/>
            </w:pPr>
            <w:r>
              <w:rPr>
                <w:sz w:val="15"/>
              </w:rPr>
              <w:t>1,323.53 LOC / PM (Alta productividad; meta exigente sujeta a riesgos).</w:t>
            </w:r>
          </w:p>
        </w:tc>
        <w:tc>
          <w:tcPr>
            <w:tcW w:type="dxa" w:w="2484"/>
            <w:shd w:fill="FFFFFF"/>
            <w:tcMar>
              <w:top w:w="60" w:type="dxa"/>
              <w:bottom w:w="60" w:type="dxa"/>
              <w:left w:w="70" w:type="dxa"/>
              <w:right w:w="70" w:type="dxa"/>
            </w:tcMar>
          </w:tcPr>
          <w:p>
            <w:pPr>
              <w:spacing w:after="0"/>
            </w:pPr>
            <w:r>
              <w:rPr>
                <w:sz w:val="15"/>
              </w:rPr>
              <w:t>229.41 LOC / PM (Típica de desarrollo procedural en C/Fortran).</w:t>
            </w:r>
          </w:p>
        </w:tc>
        <w:tc>
          <w:tcPr>
            <w:tcW w:type="dxa" w:w="2484"/>
            <w:shd w:fill="FFFFFF"/>
            <w:tcMar>
              <w:top w:w="60" w:type="dxa"/>
              <w:bottom w:w="60" w:type="dxa"/>
              <w:left w:w="70" w:type="dxa"/>
              <w:right w:w="70" w:type="dxa"/>
            </w:tcMar>
          </w:tcPr>
          <w:p>
            <w:pPr>
              <w:spacing w:after="0"/>
            </w:pPr>
            <w:r>
              <w:rPr>
                <w:sz w:val="15"/>
              </w:rPr>
              <w:t>380.30 LOC / PM (+65.8% de productividad respecto al modelo básico).</w:t>
            </w:r>
          </w:p>
        </w:tc>
      </w:tr>
      <w:tr>
        <w:tc>
          <w:tcPr>
            <w:tcW w:type="dxa" w:w="2484"/>
            <w:shd w:fill="F7FAFC"/>
            <w:tcMar>
              <w:top w:w="60" w:type="dxa"/>
              <w:bottom w:w="60" w:type="dxa"/>
              <w:left w:w="70" w:type="dxa"/>
              <w:right w:w="70" w:type="dxa"/>
            </w:tcMar>
          </w:tcPr>
          <w:p>
            <w:pPr>
              <w:spacing w:after="0"/>
            </w:pPr>
            <w:r>
              <w:rPr>
                <w:sz w:val="15"/>
              </w:rPr>
              <w:t>Costo mano de obra (Labor)</w:t>
            </w:r>
          </w:p>
        </w:tc>
        <w:tc>
          <w:tcPr>
            <w:tcW w:type="dxa" w:w="2484"/>
            <w:shd w:fill="F7FAFC"/>
            <w:tcMar>
              <w:top w:w="60" w:type="dxa"/>
              <w:bottom w:w="60" w:type="dxa"/>
              <w:left w:w="70" w:type="dxa"/>
              <w:right w:w="70" w:type="dxa"/>
            </w:tcMar>
          </w:tcPr>
          <w:p>
            <w:pPr>
              <w:spacing w:after="0"/>
            </w:pPr>
            <w:r>
              <w:rPr>
                <w:sz w:val="15"/>
              </w:rPr>
              <w:t>$358,000.00 MXN (Tarifas de mercado en la ZMG: $112.50 a $175.00 MXN/hr).</w:t>
            </w:r>
          </w:p>
        </w:tc>
        <w:tc>
          <w:tcPr>
            <w:tcW w:type="dxa" w:w="2484"/>
            <w:shd w:fill="F7FAFC"/>
            <w:tcMar>
              <w:top w:w="60" w:type="dxa"/>
              <w:bottom w:w="60" w:type="dxa"/>
              <w:left w:w="70" w:type="dxa"/>
              <w:right w:w="70" w:type="dxa"/>
            </w:tcMar>
          </w:tcPr>
          <w:p>
            <w:pPr>
              <w:spacing w:after="0"/>
            </w:pPr>
            <w:r>
              <w:rPr>
                <w:sz w:val="15"/>
              </w:rPr>
              <w:t>$2,065,379.11 MXN (Valorizado a tarifa calculada de $21,058.82 MXN/PM).</w:t>
            </w:r>
          </w:p>
        </w:tc>
        <w:tc>
          <w:tcPr>
            <w:tcW w:type="dxa" w:w="2484"/>
            <w:shd w:fill="F7FAFC"/>
            <w:tcMar>
              <w:top w:w="60" w:type="dxa"/>
              <w:bottom w:w="60" w:type="dxa"/>
              <w:left w:w="70" w:type="dxa"/>
              <w:right w:w="70" w:type="dxa"/>
            </w:tcMar>
          </w:tcPr>
          <w:p>
            <w:pPr>
              <w:spacing w:after="0"/>
            </w:pPr>
            <w:r>
              <w:rPr>
                <w:sz w:val="15"/>
              </w:rPr>
              <w:t>$1,245,920.89 MXN (Valorizado a tarifa calculada de $21,058.82 MXN/PM).</w:t>
            </w:r>
          </w:p>
        </w:tc>
      </w:tr>
      <w:tr>
        <w:tc>
          <w:tcPr>
            <w:tcW w:type="dxa" w:w="2484"/>
            <w:shd w:fill="FFFFFF"/>
            <w:tcMar>
              <w:top w:w="60" w:type="dxa"/>
              <w:bottom w:w="60" w:type="dxa"/>
              <w:left w:w="70" w:type="dxa"/>
              <w:right w:w="70" w:type="dxa"/>
            </w:tcMar>
          </w:tcPr>
          <w:p>
            <w:pPr>
              <w:spacing w:after="0"/>
            </w:pPr>
            <w:r>
              <w:rPr>
                <w:sz w:val="15"/>
              </w:rPr>
              <w:t>Equipamiento de mostrador / POS</w:t>
            </w:r>
          </w:p>
        </w:tc>
        <w:tc>
          <w:tcPr>
            <w:tcW w:type="dxa" w:w="2484"/>
            <w:shd w:fill="FFFFFF"/>
            <w:tcMar>
              <w:top w:w="60" w:type="dxa"/>
              <w:bottom w:w="60" w:type="dxa"/>
              <w:left w:w="70" w:type="dxa"/>
              <w:right w:w="70" w:type="dxa"/>
            </w:tcMar>
          </w:tcPr>
          <w:p>
            <w:pPr>
              <w:spacing w:after="0"/>
            </w:pPr>
            <w:r>
              <w:rPr>
                <w:sz w:val="15"/>
              </w:rPr>
              <w:t>$9,500.00 MXN (Tablet táctil, impresora térmica de tickets y escáner QR).</w:t>
            </w:r>
          </w:p>
        </w:tc>
        <w:tc>
          <w:tcPr>
            <w:tcW w:type="dxa" w:w="2484"/>
            <w:shd w:fill="FFFFFF"/>
            <w:tcMar>
              <w:top w:w="60" w:type="dxa"/>
              <w:bottom w:w="60" w:type="dxa"/>
              <w:left w:w="70" w:type="dxa"/>
              <w:right w:w="70" w:type="dxa"/>
            </w:tcMar>
          </w:tcPr>
          <w:p>
            <w:pPr>
              <w:spacing w:after="0"/>
            </w:pPr>
            <w:r>
              <w:rPr>
                <w:sz w:val="15"/>
              </w:rPr>
              <w:t>$0.00 (Omitido; no contempla activos físicos de hardware).</w:t>
            </w:r>
          </w:p>
        </w:tc>
        <w:tc>
          <w:tcPr>
            <w:tcW w:type="dxa" w:w="2484"/>
            <w:shd w:fill="FFFFFF"/>
            <w:tcMar>
              <w:top w:w="60" w:type="dxa"/>
              <w:bottom w:w="60" w:type="dxa"/>
              <w:left w:w="70" w:type="dxa"/>
              <w:right w:w="70" w:type="dxa"/>
            </w:tcMar>
          </w:tcPr>
          <w:p>
            <w:pPr>
              <w:spacing w:after="0"/>
            </w:pPr>
            <w:r>
              <w:rPr>
                <w:sz w:val="15"/>
              </w:rPr>
              <w:t>$0.00 (Omitido; no contempla activos físicos de hardware).</w:t>
            </w:r>
          </w:p>
        </w:tc>
      </w:tr>
      <w:tr>
        <w:tc>
          <w:tcPr>
            <w:tcW w:type="dxa" w:w="2484"/>
            <w:shd w:fill="F7FAFC"/>
            <w:tcMar>
              <w:top w:w="60" w:type="dxa"/>
              <w:bottom w:w="60" w:type="dxa"/>
              <w:left w:w="70" w:type="dxa"/>
              <w:right w:w="70" w:type="dxa"/>
            </w:tcMar>
          </w:tcPr>
          <w:p>
            <w:pPr>
              <w:spacing w:after="0"/>
            </w:pPr>
            <w:r>
              <w:rPr>
                <w:sz w:val="15"/>
              </w:rPr>
              <w:t>Infraestructura Cloud y licencias</w:t>
            </w:r>
          </w:p>
        </w:tc>
        <w:tc>
          <w:tcPr>
            <w:tcW w:type="dxa" w:w="2484"/>
            <w:shd w:fill="F7FAFC"/>
            <w:tcMar>
              <w:top w:w="60" w:type="dxa"/>
              <w:bottom w:w="60" w:type="dxa"/>
              <w:left w:w="70" w:type="dxa"/>
              <w:right w:w="70" w:type="dxa"/>
            </w:tcMar>
          </w:tcPr>
          <w:p>
            <w:pPr>
              <w:spacing w:after="0"/>
            </w:pPr>
            <w:r>
              <w:rPr>
                <w:sz w:val="15"/>
              </w:rPr>
              <w:t>$12,750.00 MXN (GCP Cloud Run, SQL, RabbitMQ CloudAMQP, SSL y GitHub).</w:t>
            </w:r>
          </w:p>
        </w:tc>
        <w:tc>
          <w:tcPr>
            <w:tcW w:type="dxa" w:w="2484"/>
            <w:shd w:fill="F7FAFC"/>
            <w:tcMar>
              <w:top w:w="60" w:type="dxa"/>
              <w:bottom w:w="60" w:type="dxa"/>
              <w:left w:w="70" w:type="dxa"/>
              <w:right w:w="70" w:type="dxa"/>
            </w:tcMar>
          </w:tcPr>
          <w:p>
            <w:pPr>
              <w:spacing w:after="0"/>
            </w:pPr>
            <w:r>
              <w:rPr>
                <w:sz w:val="15"/>
              </w:rPr>
              <w:t>$0.00 (Omitido; no contempla servidores ni servicios en la nube).</w:t>
            </w:r>
          </w:p>
        </w:tc>
        <w:tc>
          <w:tcPr>
            <w:tcW w:type="dxa" w:w="2484"/>
            <w:shd w:fill="F7FAFC"/>
            <w:tcMar>
              <w:top w:w="60" w:type="dxa"/>
              <w:bottom w:w="60" w:type="dxa"/>
              <w:left w:w="70" w:type="dxa"/>
              <w:right w:w="70" w:type="dxa"/>
            </w:tcMar>
          </w:tcPr>
          <w:p>
            <w:pPr>
              <w:spacing w:after="0"/>
            </w:pPr>
            <w:r>
              <w:rPr>
                <w:sz w:val="15"/>
              </w:rPr>
              <w:t>$0.00 (Omitido; no contempla servidores ni servicios en la nube).</w:t>
            </w:r>
          </w:p>
        </w:tc>
      </w:tr>
      <w:tr>
        <w:tc>
          <w:tcPr>
            <w:tcW w:type="dxa" w:w="2484"/>
            <w:shd w:fill="FFFFFF"/>
            <w:tcMar>
              <w:top w:w="60" w:type="dxa"/>
              <w:bottom w:w="60" w:type="dxa"/>
              <w:left w:w="70" w:type="dxa"/>
              <w:right w:w="70" w:type="dxa"/>
            </w:tcMar>
          </w:tcPr>
          <w:p>
            <w:pPr>
              <w:spacing w:after="0"/>
            </w:pPr>
            <w:r>
              <w:rPr>
                <w:sz w:val="15"/>
              </w:rPr>
              <w:t>Fondo de contingencia</w:t>
            </w:r>
          </w:p>
        </w:tc>
        <w:tc>
          <w:tcPr>
            <w:tcW w:type="dxa" w:w="2484"/>
            <w:shd w:fill="FFFFFF"/>
            <w:tcMar>
              <w:top w:w="60" w:type="dxa"/>
              <w:bottom w:w="60" w:type="dxa"/>
              <w:left w:w="70" w:type="dxa"/>
              <w:right w:w="70" w:type="dxa"/>
            </w:tcMar>
          </w:tcPr>
          <w:p>
            <w:pPr>
              <w:spacing w:after="0"/>
            </w:pPr>
            <w:r>
              <w:rPr>
                <w:sz w:val="15"/>
              </w:rPr>
              <w:t>$38,025.00 MXN (10% explícito sobre costos directos para mitigación).</w:t>
            </w:r>
          </w:p>
        </w:tc>
        <w:tc>
          <w:tcPr>
            <w:tcW w:type="dxa" w:w="2484"/>
            <w:shd w:fill="FFFFFF"/>
            <w:tcMar>
              <w:top w:w="60" w:type="dxa"/>
              <w:bottom w:w="60" w:type="dxa"/>
              <w:left w:w="70" w:type="dxa"/>
              <w:right w:w="70" w:type="dxa"/>
            </w:tcMar>
          </w:tcPr>
          <w:p>
            <w:pPr>
              <w:spacing w:after="0"/>
            </w:pPr>
            <w:r>
              <w:rPr>
                <w:sz w:val="15"/>
              </w:rPr>
              <w:t>$0.00 (Omitido; no incluye reserva financiera de imprevistos).</w:t>
            </w:r>
          </w:p>
        </w:tc>
        <w:tc>
          <w:tcPr>
            <w:tcW w:type="dxa" w:w="2484"/>
            <w:shd w:fill="FFFFFF"/>
            <w:tcMar>
              <w:top w:w="60" w:type="dxa"/>
              <w:bottom w:w="60" w:type="dxa"/>
              <w:left w:w="70" w:type="dxa"/>
              <w:right w:w="70" w:type="dxa"/>
            </w:tcMar>
          </w:tcPr>
          <w:p>
            <w:pPr>
              <w:spacing w:after="0"/>
            </w:pPr>
            <w:r>
              <w:rPr>
                <w:sz w:val="15"/>
              </w:rPr>
              <w:t>$0.00 (Omitido; no incluye reserva financiera de imprevistos).</w:t>
            </w:r>
          </w:p>
        </w:tc>
      </w:tr>
      <w:tr>
        <w:tc>
          <w:tcPr>
            <w:tcW w:type="dxa" w:w="2484"/>
            <w:shd w:fill="EDF2F7"/>
            <w:tcMar>
              <w:top w:w="60" w:type="dxa"/>
              <w:bottom w:w="60" w:type="dxa"/>
              <w:left w:w="70" w:type="dxa"/>
              <w:right w:w="70" w:type="dxa"/>
            </w:tcMar>
          </w:tcPr>
          <w:p>
            <w:pPr>
              <w:spacing w:after="0"/>
            </w:pPr>
            <w:r>
              <w:rPr>
                <w:b/>
                <w:color w:val="1B365D"/>
                <w:sz w:val="15"/>
              </w:rPr>
              <w:t>INVERSIÓN TOTAL ESTIMADA</w:t>
            </w:r>
          </w:p>
        </w:tc>
        <w:tc>
          <w:tcPr>
            <w:tcW w:type="dxa" w:w="2484"/>
            <w:shd w:fill="EDF2F7"/>
            <w:tcMar>
              <w:top w:w="60" w:type="dxa"/>
              <w:bottom w:w="60" w:type="dxa"/>
              <w:left w:w="70" w:type="dxa"/>
              <w:right w:w="70" w:type="dxa"/>
            </w:tcMar>
          </w:tcPr>
          <w:p>
            <w:pPr>
              <w:spacing w:after="0"/>
            </w:pPr>
            <w:r>
              <w:rPr>
                <w:b/>
                <w:color w:val="1B365D"/>
                <w:sz w:val="15"/>
              </w:rPr>
              <w:t>$418,275.00 MXN</w:t>
              <w:br/>
              <w:t>(Mano de obra, hardware, nube y contingencia)</w:t>
            </w:r>
          </w:p>
        </w:tc>
        <w:tc>
          <w:tcPr>
            <w:tcW w:type="dxa" w:w="2484"/>
            <w:shd w:fill="EDF2F7"/>
            <w:tcMar>
              <w:top w:w="60" w:type="dxa"/>
              <w:bottom w:w="60" w:type="dxa"/>
              <w:left w:w="70" w:type="dxa"/>
              <w:right w:w="70" w:type="dxa"/>
            </w:tcMar>
          </w:tcPr>
          <w:p>
            <w:pPr>
              <w:spacing w:after="0"/>
            </w:pPr>
            <w:r>
              <w:rPr>
                <w:b/>
                <w:color w:val="1B365D"/>
                <w:sz w:val="15"/>
              </w:rPr>
              <w:t>$2,065,379.11 MXN</w:t>
              <w:br/>
              <w:t>(Solo mano de obra estimada)</w:t>
            </w:r>
          </w:p>
        </w:tc>
        <w:tc>
          <w:tcPr>
            <w:tcW w:type="dxa" w:w="2484"/>
            <w:shd w:fill="EDF2F7"/>
            <w:tcMar>
              <w:top w:w="60" w:type="dxa"/>
              <w:bottom w:w="60" w:type="dxa"/>
              <w:left w:w="70" w:type="dxa"/>
              <w:right w:w="70" w:type="dxa"/>
            </w:tcMar>
          </w:tcPr>
          <w:p>
            <w:pPr>
              <w:spacing w:after="0"/>
            </w:pPr>
            <w:r>
              <w:rPr>
                <w:b/>
                <w:color w:val="1B365D"/>
                <w:sz w:val="15"/>
              </w:rPr>
              <w:t>$1,245,920.89 MXN</w:t>
              <w:br/>
              <w:t>(Solo mano de obra estimada)</w:t>
            </w:r>
          </w:p>
        </w:tc>
      </w:tr>
      <w:tr>
        <w:tc>
          <w:tcPr>
            <w:tcW w:type="dxa" w:w="2484"/>
            <w:shd w:fill="FFFFFF"/>
            <w:tcMar>
              <w:top w:w="60" w:type="dxa"/>
              <w:bottom w:w="60" w:type="dxa"/>
              <w:left w:w="70" w:type="dxa"/>
              <w:right w:w="70" w:type="dxa"/>
            </w:tcMar>
          </w:tcPr>
          <w:p>
            <w:pPr>
              <w:spacing w:after="0"/>
            </w:pPr>
            <w:r>
              <w:rPr>
                <w:sz w:val="15"/>
              </w:rPr>
              <w:t>Sensibilidad a tecnología moderna</w:t>
            </w:r>
          </w:p>
        </w:tc>
        <w:tc>
          <w:tcPr>
            <w:tcW w:type="dxa" w:w="2484"/>
            <w:shd w:fill="FFFFFF"/>
            <w:tcMar>
              <w:top w:w="60" w:type="dxa"/>
              <w:bottom w:w="60" w:type="dxa"/>
              <w:left w:w="70" w:type="dxa"/>
              <w:right w:w="70" w:type="dxa"/>
            </w:tcMar>
          </w:tcPr>
          <w:p>
            <w:pPr>
              <w:spacing w:after="0"/>
            </w:pPr>
            <w:r>
              <w:rPr>
                <w:sz w:val="15"/>
              </w:rPr>
              <w:t>Alta: El desglose de horas refleja directamente la velocidad de TypeScript, Prisma y Vue.</w:t>
            </w:r>
          </w:p>
        </w:tc>
        <w:tc>
          <w:tcPr>
            <w:tcW w:type="dxa" w:w="2484"/>
            <w:shd w:fill="FFFFFF"/>
            <w:tcMar>
              <w:top w:w="60" w:type="dxa"/>
              <w:bottom w:w="60" w:type="dxa"/>
              <w:left w:w="70" w:type="dxa"/>
              <w:right w:w="70" w:type="dxa"/>
            </w:tcMar>
          </w:tcPr>
          <w:p>
            <w:pPr>
              <w:spacing w:after="0"/>
            </w:pPr>
            <w:r>
              <w:rPr>
                <w:sz w:val="15"/>
              </w:rPr>
              <w:t>Nula: Modela una línea de código moderno igual que en 1981.</w:t>
            </w:r>
          </w:p>
        </w:tc>
        <w:tc>
          <w:tcPr>
            <w:tcW w:type="dxa" w:w="2484"/>
            <w:shd w:fill="FFFFFF"/>
            <w:tcMar>
              <w:top w:w="60" w:type="dxa"/>
              <w:bottom w:w="60" w:type="dxa"/>
              <w:left w:w="70" w:type="dxa"/>
              <w:right w:w="70" w:type="dxa"/>
            </w:tcMar>
          </w:tcPr>
          <w:p>
            <w:pPr>
              <w:spacing w:after="0"/>
            </w:pPr>
            <w:r>
              <w:rPr>
                <w:sz w:val="15"/>
              </w:rPr>
              <w:t>Moderada: Modula el impacto mediante MODP (0.82), TOOL (0.91), PCAP (0.86) y ACAP (0.86).</w:t>
            </w:r>
          </w:p>
        </w:tc>
      </w:tr>
      <w:tr>
        <w:tc>
          <w:tcPr>
            <w:tcW w:type="dxa" w:w="2484"/>
            <w:shd w:fill="F7FAFC"/>
            <w:tcMar>
              <w:top w:w="60" w:type="dxa"/>
              <w:bottom w:w="60" w:type="dxa"/>
              <w:left w:w="70" w:type="dxa"/>
              <w:right w:w="70" w:type="dxa"/>
            </w:tcMar>
          </w:tcPr>
          <w:p>
            <w:pPr>
              <w:spacing w:after="0"/>
            </w:pPr>
            <w:r>
              <w:rPr>
                <w:sz w:val="15"/>
              </w:rPr>
              <w:t>Sensibilidad a complejidad</w:t>
            </w:r>
          </w:p>
        </w:tc>
        <w:tc>
          <w:tcPr>
            <w:tcW w:type="dxa" w:w="2484"/>
            <w:shd w:fill="F7FAFC"/>
            <w:tcMar>
              <w:top w:w="60" w:type="dxa"/>
              <w:bottom w:w="60" w:type="dxa"/>
              <w:left w:w="70" w:type="dxa"/>
              <w:right w:w="70" w:type="dxa"/>
            </w:tcMar>
          </w:tcPr>
          <w:p>
            <w:pPr>
              <w:spacing w:after="0"/>
            </w:pPr>
            <w:r>
              <w:rPr>
                <w:sz w:val="15"/>
              </w:rPr>
              <w:t>Específica por tarea (ej. 480 hrs en pruebas/seguridad; 400 hrs en POS).</w:t>
            </w:r>
          </w:p>
        </w:tc>
        <w:tc>
          <w:tcPr>
            <w:tcW w:type="dxa" w:w="2484"/>
            <w:shd w:fill="F7FAFC"/>
            <w:tcMar>
              <w:top w:w="60" w:type="dxa"/>
              <w:bottom w:w="60" w:type="dxa"/>
              <w:left w:w="70" w:type="dxa"/>
              <w:right w:w="70" w:type="dxa"/>
            </w:tcMar>
          </w:tcPr>
          <w:p>
            <w:pPr>
              <w:spacing w:after="0"/>
            </w:pPr>
            <w:r>
              <w:rPr>
                <w:sz w:val="15"/>
              </w:rPr>
              <w:t>Solo reflejada en el exponente B = 1.12 del modo semiacoplado.</w:t>
            </w:r>
          </w:p>
        </w:tc>
        <w:tc>
          <w:tcPr>
            <w:tcW w:type="dxa" w:w="2484"/>
            <w:shd w:fill="F7FAFC"/>
            <w:tcMar>
              <w:top w:w="60" w:type="dxa"/>
              <w:bottom w:w="60" w:type="dxa"/>
              <w:left w:w="70" w:type="dxa"/>
              <w:right w:w="70" w:type="dxa"/>
            </w:tcMar>
          </w:tcPr>
          <w:p>
            <w:pPr>
              <w:spacing w:after="0"/>
            </w:pPr>
            <w:r>
              <w:rPr>
                <w:sz w:val="15"/>
              </w:rPr>
              <w:t>Ponderada explícitamente en RELY (1.15) y CPLX (1.15), compensada por MODP.</w:t>
            </w:r>
          </w:p>
        </w:tc>
      </w:tr>
      <w:tr>
        <w:tc>
          <w:tcPr>
            <w:tcW w:type="dxa" w:w="2484"/>
            <w:shd w:fill="FFFFFF"/>
            <w:tcMar>
              <w:top w:w="60" w:type="dxa"/>
              <w:bottom w:w="60" w:type="dxa"/>
              <w:left w:w="70" w:type="dxa"/>
              <w:right w:w="70" w:type="dxa"/>
            </w:tcMar>
          </w:tcPr>
          <w:p>
            <w:pPr>
              <w:spacing w:after="0"/>
            </w:pPr>
            <w:r>
              <w:rPr>
                <w:sz w:val="15"/>
              </w:rPr>
              <w:t>Principales ventajas</w:t>
            </w:r>
          </w:p>
        </w:tc>
        <w:tc>
          <w:tcPr>
            <w:tcW w:type="dxa" w:w="2484"/>
            <w:shd w:fill="FFFFFF"/>
            <w:tcMar>
              <w:top w:w="60" w:type="dxa"/>
              <w:bottom w:w="60" w:type="dxa"/>
              <w:left w:w="70" w:type="dxa"/>
              <w:right w:w="70" w:type="dxa"/>
            </w:tcMar>
          </w:tcPr>
          <w:p>
            <w:pPr>
              <w:spacing w:after="0"/>
            </w:pPr>
            <w:r>
              <w:rPr>
                <w:sz w:val="15"/>
              </w:rPr>
              <w:t>• Control presupuestal integral.</w:t>
              <w:br/>
              <w:t>• Incluye hardware, nube y riesgos.</w:t>
              <w:br/>
              <w:t>• Aceptado contractualmente por clientes.</w:t>
            </w:r>
          </w:p>
        </w:tc>
        <w:tc>
          <w:tcPr>
            <w:tcW w:type="dxa" w:w="2484"/>
            <w:shd w:fill="FFFFFF"/>
            <w:tcMar>
              <w:top w:w="60" w:type="dxa"/>
              <w:bottom w:w="60" w:type="dxa"/>
              <w:left w:w="70" w:type="dxa"/>
              <w:right w:w="70" w:type="dxa"/>
            </w:tcMar>
          </w:tcPr>
          <w:p>
            <w:pPr>
              <w:spacing w:after="0"/>
            </w:pPr>
            <w:r>
              <w:rPr>
                <w:sz w:val="15"/>
              </w:rPr>
              <w:t>• Rápido y sencillo de calcular.</w:t>
              <w:br/>
              <w:t>• Solo requiere estimar KLOC.</w:t>
              <w:br/>
              <w:t>• Referencia histórica macroscópica.</w:t>
            </w:r>
          </w:p>
        </w:tc>
        <w:tc>
          <w:tcPr>
            <w:tcW w:type="dxa" w:w="2484"/>
            <w:shd w:fill="FFFFFF"/>
            <w:tcMar>
              <w:top w:w="60" w:type="dxa"/>
              <w:bottom w:w="60" w:type="dxa"/>
              <w:left w:w="70" w:type="dxa"/>
              <w:right w:w="70" w:type="dxa"/>
            </w:tcMar>
          </w:tcPr>
          <w:p>
            <w:pPr>
              <w:spacing w:after="0"/>
            </w:pPr>
            <w:r>
              <w:rPr>
                <w:sz w:val="15"/>
              </w:rPr>
              <w:t>• Calibra el perfil del equipo.</w:t>
              <w:br/>
              <w:t>• Premia buenas prácticas modernas.</w:t>
              <w:br/>
              <w:t>• Reduce drásticamente la sobreestimación.</w:t>
            </w:r>
          </w:p>
        </w:tc>
      </w:tr>
      <w:tr>
        <w:tc>
          <w:tcPr>
            <w:tcW w:type="dxa" w:w="2484"/>
            <w:shd w:fill="F7FAFC"/>
            <w:tcMar>
              <w:top w:w="60" w:type="dxa"/>
              <w:bottom w:w="60" w:type="dxa"/>
              <w:left w:w="70" w:type="dxa"/>
              <w:right w:w="70" w:type="dxa"/>
            </w:tcMar>
          </w:tcPr>
          <w:p>
            <w:pPr>
              <w:spacing w:after="0"/>
            </w:pPr>
            <w:r>
              <w:rPr>
                <w:sz w:val="15"/>
              </w:rPr>
              <w:t>Principales limitaciones</w:t>
            </w:r>
          </w:p>
        </w:tc>
        <w:tc>
          <w:tcPr>
            <w:tcW w:type="dxa" w:w="2484"/>
            <w:shd w:fill="F7FAFC"/>
            <w:tcMar>
              <w:top w:w="60" w:type="dxa"/>
              <w:bottom w:w="60" w:type="dxa"/>
              <w:left w:w="70" w:type="dxa"/>
              <w:right w:w="70" w:type="dxa"/>
            </w:tcMar>
          </w:tcPr>
          <w:p>
            <w:pPr>
              <w:spacing w:after="0"/>
            </w:pPr>
            <w:r>
              <w:rPr>
                <w:sz w:val="15"/>
              </w:rPr>
              <w:t>• Vulnerable al sesgo de optimismo.</w:t>
              <w:br/>
              <w:t>• Requiere descomposición detallada previa.</w:t>
              <w:br/>
              <w:t>• No provee fórmulas de compresión.</w:t>
            </w:r>
          </w:p>
        </w:tc>
        <w:tc>
          <w:tcPr>
            <w:tcW w:type="dxa" w:w="2484"/>
            <w:shd w:fill="F7FAFC"/>
            <w:tcMar>
              <w:top w:w="60" w:type="dxa"/>
              <w:bottom w:w="60" w:type="dxa"/>
              <w:left w:w="70" w:type="dxa"/>
              <w:right w:w="70" w:type="dxa"/>
            </w:tcMar>
          </w:tcPr>
          <w:p>
            <w:pPr>
              <w:spacing w:after="0"/>
            </w:pPr>
            <w:r>
              <w:rPr>
                <w:sz w:val="15"/>
              </w:rPr>
              <w:t>• Sobrestima severamente en entornos web.</w:t>
              <w:br/>
              <w:t>• Ignora herramientas y frameworks.</w:t>
              <w:br/>
              <w:t>• Desconectado de presupuestos comerciales.</w:t>
            </w:r>
          </w:p>
        </w:tc>
        <w:tc>
          <w:tcPr>
            <w:tcW w:type="dxa" w:w="2484"/>
            <w:shd w:fill="F7FAFC"/>
            <w:tcMar>
              <w:top w:w="60" w:type="dxa"/>
              <w:bottom w:w="60" w:type="dxa"/>
              <w:left w:w="70" w:type="dxa"/>
              <w:right w:w="70" w:type="dxa"/>
            </w:tcMar>
          </w:tcPr>
          <w:p>
            <w:pPr>
              <w:spacing w:after="0"/>
            </w:pPr>
            <w:r>
              <w:rPr>
                <w:sz w:val="15"/>
              </w:rPr>
              <w:t>• Sigue omitiendo costos de nube y equipo.</w:t>
              <w:br/>
              <w:t>• Calibrado con proyectos de 1981.</w:t>
              <w:br/>
              <w:t>• Requiere justificar 15 coeficientes.</w:t>
            </w:r>
          </w:p>
        </w:tc>
      </w:tr>
    </w:tbl>
    <w:p>
      <w:pPr>
        <w:keepNext/>
        <w:spacing w:before="280" w:after="80"/>
      </w:pPr>
      <w:r>
        <w:rPr>
          <w:rFonts w:ascii="Calibri" w:hAnsi="Calibri"/>
          <w:b/>
          <w:color w:val="1B365D"/>
          <w:sz w:val="26"/>
        </w:rPr>
        <w:t>6. Análisis técnico comparativo y conclusiones</w:t>
      </w:r>
    </w:p>
    <w:p>
      <w:pPr>
        <w:keepNext/>
        <w:spacing w:before="200" w:after="60"/>
      </w:pPr>
      <w:r>
        <w:rPr>
          <w:rFonts w:ascii="Calibri" w:hAnsi="Calibri"/>
          <w:b/>
          <w:color w:val="4A5568"/>
          <w:sz w:val="22"/>
        </w:rPr>
        <w:t>6.1. Justificación de las discrepancias entre modelos (1981 vs. 2026)</w:t>
      </w:r>
    </w:p>
    <w:p>
      <w:pPr>
        <w:spacing w:after="80"/>
      </w:pPr>
      <w:r>
        <w:t>Al contrastar el presupuesto inicial ($418,275.00 MXN | 17.00 PM) con los modelos COCOMO básico ($2,065,379.11 MXN | 98.08 PM) e intermedio ($1,245,920.89 MXN | 59.16 PM), se hace evidente una brecha técnica sustancial: el esfuerzo del modelo básico representa casi seis veces el esfuerzo planeado en el presupuesto (+476.9%), mientras que el modelo intermedio representa más de tres veces dicho esfuerzo (59.16 vs. 17.00 PM, un +248%). Esta divergencia se explica por los siguientes factores:</w:t>
      </w:r>
    </w:p>
    <w:p>
      <w:pPr>
        <w:pStyle w:val="ListBullet"/>
        <w:spacing w:after="40"/>
      </w:pPr>
      <w:r>
        <w:rPr>
          <w:b/>
        </w:rPr>
        <w:t xml:space="preserve">Base empírica de COCOMO 81: </w:t>
      </w:r>
      <w:r>
        <w:t>Barry Boehm construyó el modelo original en 1981 analizando 63 proyectos tradicionales de software en FORTRAN, COBOL y ensamblador (Boehm, 1981). En aquel contexto, escribir 22.5 KLOC demandaba construir manualmente drivers de comunicación, interfaces de texto y rutinas de persistencia a bajo nivel, lo que explica la proyección de 98 personas-mes.</w:t>
      </w:r>
    </w:p>
    <w:p>
      <w:pPr>
        <w:pStyle w:val="ListBullet"/>
        <w:spacing w:after="40"/>
      </w:pPr>
      <w:r>
        <w:rPr>
          <w:b/>
        </w:rPr>
        <w:t xml:space="preserve">Ecosistema de desarrollo moderno: </w:t>
      </w:r>
      <w:r>
        <w:t>En Monchis Café, una línea de código en TypeScript moderno posee una densidad funcional significativamente más alta: se emplean componentes reactivos en Vue 3, esquemas automáticos con Prisma ORM y servicios administrados en la nube. Esto permite proyectar una productividad de 1,323 LOC/PM en 16 semanas. Sin embargo, debe reconocerse que este rendimiento asume un flujo de trabajo continuo y sin fricciones mayores; si surgen imprevistos en la integración de periféricos o el código crece, el cronograma corre el riesgo de desfasarse.</w:t>
      </w:r>
    </w:p>
    <w:p>
      <w:pPr>
        <w:pStyle w:val="ListBullet"/>
        <w:spacing w:after="40"/>
      </w:pPr>
      <w:r>
        <w:rPr>
          <w:b/>
        </w:rPr>
        <w:t xml:space="preserve">Efecto de los conductores de coste: </w:t>
      </w:r>
      <w:r>
        <w:t>Al incorporar los 15 conductores en COCOMO intermedio (EAF = 0.6032), el esfuerzo disminuye de 98 a 59 personas-mes. Los factores determinantes en esta reducción son las prácticas modernas (MODP = 0.82) y la capacidad del equipo (ACAP y PCAP = 0.86). Con todo, el cálculo resultante continúa situándose muy por encima del presupuesto inicial, y los 10.4 meses estimados distan de las 16 semanas contempladas.</w:t>
      </w:r>
    </w:p>
    <w:p>
      <w:pPr>
        <w:keepNext/>
        <w:spacing w:before="200" w:after="60"/>
      </w:pPr>
      <w:r>
        <w:rPr>
          <w:rFonts w:ascii="Calibri" w:hAnsi="Calibri"/>
          <w:b/>
          <w:color w:val="4A5568"/>
          <w:sz w:val="22"/>
        </w:rPr>
        <w:t>6.2. Conclusión: Selección y recomendación metodológica</w:t>
      </w:r>
    </w:p>
    <w:p>
      <w:pPr>
        <w:spacing w:after="120"/>
      </w:pPr>
      <w:r>
        <w:t>A partir de la evaluación técnica realizada, se establecen las siguientes conclusiones para la gestión de Monchis Café:</w:t>
        <w:br/>
        <w:t>1. El presupuesto inicial (WBS / Bottom-Up) es el método más adecuado para la viabilidad financiera y contractual: Es la única alternativa que ofrece una visión integral del negocio, ya que incorpora los $9,500 MXN de equipamiento de barra indispensable para operar en mostrador, los $12,750 MXN de servicios Cloud para alojar la base de datos y RabbitMQ, y el fondo de contingencia del 10% ($38,025 MXN). Los modelos COCOMO no contemplan estos costos directos, pues están estructurados exclusivamente para estimar esfuerzo de desarrollo de software.</w:t>
        <w:br/>
        <w:t>2. COCOMO intermedio: mejor referencia que el Básico, pero requiere calibración: COCOMO intermedio supera con claridad al modelo básico porque modula el esfuerzo en función del perfil técnico y las herramientas. No obstante, no debe emplearse como presupuesto comercial vinculante para el cliente, sino como una herramienta de contraste y auditoría cruzada que previene al equipo sobre el riesgo de sobrecarga comunicativa interna (Brooks, 1975) si se pretendiera resolver retrasos incorporando personal a destiempo. Para proyectos contemporáneos, la disciplina recurre a evoluciones como COCOMO II (Boehm et al., 2000), diseñado para desarrollo moderno basado en componentes y reutilización de software.</w:t>
      </w:r>
    </w:p>
    <w:p>
      <w:pPr>
        <w:keepNext/>
        <w:spacing w:before="200" w:after="60"/>
      </w:pPr>
      <w:r>
        <w:rPr>
          <w:rFonts w:ascii="Calibri" w:hAnsi="Calibri"/>
          <w:b/>
          <w:color w:val="4A5568"/>
          <w:sz w:val="22"/>
        </w:rPr>
        <w:t>6.3. Reflexión personal sobre el proceso de estimación</w:t>
      </w:r>
    </w:p>
    <w:p>
      <w:pPr>
        <w:spacing w:after="240"/>
      </w:pPr>
      <w:r>
        <w:rPr>
          <w:i/>
          <w:color w:val="718096"/>
        </w:rPr>
        <w:t>[Espacio reservado para la reflexión personal del alumno sobre el proceso de estimación: redacta aquí tus impresiones directas sobre las decisiones tomadas, los paquetes de trabajo que mayor complejidad implicaron —como la integración de periféricos POS o la orquestación con RabbitMQ— y tu aprendizaje al contrastar las fórmulas teóricas de 1981 con el presupuesto WBS.]</w:t>
        <w:br/>
        <w:br/>
        <w:br/>
        <w:br/>
      </w:r>
    </w:p>
    <w:p>
      <w:pPr>
        <w:keepNext/>
        <w:spacing w:before="280" w:after="80"/>
      </w:pPr>
      <w:r>
        <w:rPr>
          <w:rFonts w:ascii="Calibri" w:hAnsi="Calibri"/>
          <w:b/>
          <w:color w:val="1B365D"/>
          <w:sz w:val="26"/>
        </w:rPr>
        <w:t>7. Referencias bibliográficas (Normas APA 7)</w:t>
      </w:r>
    </w:p>
    <w:p>
      <w:pPr>
        <w:spacing w:after="60"/>
        <w:ind w:left="576" w:hanging="576"/>
      </w:pPr>
      <w:r>
        <w:rPr>
          <w:color w:val="4A5568"/>
          <w:sz w:val="17"/>
        </w:rPr>
        <w:t>Boehm, B. W. (1981). Software engineering economics. Prentice-Hall.</w:t>
      </w:r>
    </w:p>
    <w:p>
      <w:pPr>
        <w:spacing w:after="60"/>
        <w:ind w:left="576" w:hanging="576"/>
      </w:pPr>
      <w:r>
        <w:rPr>
          <w:color w:val="4A5568"/>
          <w:sz w:val="17"/>
        </w:rPr>
        <w:t>Boehm, B., Abts, C., Brown, A. W., Chulani, S., Clark, B. K., Horowitz, E., Madachy, R., Reifer, D., &amp; Steece, B. (2000). Software cost estimation with COCOMO II. Prentice Hall.</w:t>
      </w:r>
    </w:p>
    <w:p>
      <w:pPr>
        <w:spacing w:after="60"/>
        <w:ind w:left="576" w:hanging="576"/>
      </w:pPr>
      <w:r>
        <w:rPr>
          <w:color w:val="4A5568"/>
          <w:sz w:val="17"/>
        </w:rPr>
        <w:t>Brooks, F. P. (1975). The mythical man-month: Essays on software engineering. Addison-Wesley.</w:t>
      </w:r>
    </w:p>
    <w:p>
      <w:pPr>
        <w:spacing w:after="60"/>
        <w:ind w:left="576" w:hanging="576"/>
      </w:pPr>
      <w:r>
        <w:rPr>
          <w:color w:val="4A5568"/>
          <w:sz w:val="17"/>
        </w:rPr>
        <w:t>Computrabajo México. (2026). Portal de empleo y sondeo de salarios en tecnología [Base de datos en línea]. https://www.computrabajo.com.mx/</w:t>
      </w:r>
    </w:p>
    <w:p>
      <w:pPr>
        <w:spacing w:after="60"/>
        <w:ind w:left="576" w:hanging="576"/>
      </w:pPr>
      <w:r>
        <w:rPr>
          <w:color w:val="4A5568"/>
          <w:sz w:val="17"/>
        </w:rPr>
        <w:t>Glassdoor. (2026). Sueldos para desarrolladores de software en Guadalajara, Jalisco [Base de datos en línea]. https://www.glassdoor.com.mx/</w:t>
      </w:r>
    </w:p>
    <w:p>
      <w:pPr>
        <w:spacing w:after="60"/>
        <w:ind w:left="576" w:hanging="576"/>
      </w:pPr>
      <w:r>
        <w:rPr>
          <w:color w:val="4A5568"/>
          <w:sz w:val="17"/>
        </w:rPr>
        <w:t>Navarro Salcedo, G. (2026). Material de apoyo y notas de clase sobre los modelos COCOMO básico e intermedio [Material didáctico de cátedra]. Universidad de Guadalajara.</w:t>
      </w:r>
    </w:p>
    <w:p>
      <w:pPr>
        <w:spacing w:after="60"/>
        <w:ind w:left="576" w:hanging="576"/>
      </w:pPr>
      <w:r>
        <w:rPr>
          <w:color w:val="4A5568"/>
          <w:sz w:val="17"/>
        </w:rPr>
        <w:t>Pressman, R. S., &amp; Maxim, B. R. (2020). Software engineering: A practitioner's approach (9.ª ed.). McGraw-Hill Education.</w:t>
      </w:r>
    </w:p>
    <w:p>
      <w:pPr>
        <w:spacing w:after="60"/>
        <w:ind w:left="576" w:hanging="576"/>
      </w:pPr>
      <w:r>
        <w:rPr>
          <w:color w:val="4A5568"/>
          <w:sz w:val="17"/>
        </w:rPr>
        <w:t>Project Management Institute. (2019). Practice standard for work breakdown structures (3.ª ed.). Project Management Institute.</w:t>
      </w:r>
    </w:p>
    <w:p>
      <w:pPr>
        <w:spacing w:after="60"/>
        <w:ind w:left="576" w:hanging="576"/>
      </w:pPr>
      <w:r>
        <w:rPr>
          <w:color w:val="4A5568"/>
          <w:sz w:val="17"/>
        </w:rPr>
        <w:t>Smartsheet Inc. (s. f.). Plantilla de propuesta de presupuesto de proyectos [Plantilla de hoja de cálculo]. Smartsheet. https://es.smartsheet.com/content/project-budget-templates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