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400" w:line="288" w:lineRule="auto"/>
        <w:jc w:val="center"/>
      </w:pPr>
      <w:r>
        <w:rPr>
          <w:b/>
          <w:sz w:val="24"/>
        </w:rPr>
        <w:t>UNIVERSIDAD DE GUADALAJARA</w:t>
        <w:br/>
        <w:t>Centro Universitario de Tonalá (CUTonalá)</w:t>
        <w:br/>
        <w:t>División de Ingenierías e Innovación Tecnológica</w:t>
        <w:br/>
        <w:t>Licenciatura en Ingeniería en Computación</w:t>
        <w:br/>
      </w:r>
    </w:p>
    <w:p>
      <w:pPr>
        <w:spacing w:before="720" w:after="480" w:line="288" w:lineRule="auto"/>
        <w:jc w:val="center"/>
      </w:pPr>
      <w:r>
        <w:rPr>
          <w:b/>
          <w:color w:val="1A365D"/>
          <w:sz w:val="26"/>
        </w:rPr>
        <w:t>ACTIVIDAD PARTICIPACIÓN</w:t>
        <w:br/>
        <w:t>DISEÑO DE ESTRATEGIA DE SERVICIOS TI</w:t>
        <w:br/>
        <w:t>Proyecto Final: Monchis Café (Plataforma Web y Sistema de Gestión Integral)</w:t>
        <w:br/>
      </w:r>
    </w:p>
    <w:p>
      <w:pPr>
        <w:spacing w:before="900" w:after="0" w:line="312" w:lineRule="auto"/>
        <w:jc w:val="center"/>
      </w:pPr>
      <w:r>
        <w:rPr>
          <w:sz w:val="22"/>
        </w:rPr>
        <w:t>Cátedra: Gestión de Servicios Informáticos</w:t>
        <w:br/>
        <w:t>Docente: Dr. Gabriel Navarro Salcedo</w:t>
        <w:br/>
        <w:br/>
        <w:t>Equipo de Proyecto:</w:t>
        <w:br/>
        <w:t>• Ernesto Hatuey Fierro Medina (Código: 215487963) — Líder y Arquitecto de Servicios TI</w:t>
        <w:br/>
        <w:t>• Jazmín Díaz — Diseño de Servicios y Requerimientos</w:t>
        <w:br/>
        <w:t>• Héctor Hernández — Especialista en Infraestructura y Operación TI</w:t>
        <w:br/>
        <w:t>• Oswaldo Millán — Especialista en Transición y Aseguramiento de Calidad</w:t>
        <w:br/>
        <w:br/>
        <w:t>Fecha de entrega: 17 de octubre de 2026</w:t>
        <w:br/>
        <w:t>Ciclo: 2026-B</w:t>
      </w:r>
    </w:p>
    <w:p>
      <w:r>
        <w:br w:type="page"/>
      </w:r>
    </w:p>
    <w:p>
      <w:pPr>
        <w:keepNext/>
        <w:spacing w:before="360" w:after="120" w:line="276" w:lineRule="auto"/>
      </w:pPr>
      <w:r>
        <w:rPr>
          <w:rFonts w:ascii="Arial" w:hAnsi="Arial"/>
          <w:b/>
          <w:color w:val="1A365D"/>
          <w:sz w:val="28"/>
        </w:rPr>
        <w:t>Índice General</w:t>
      </w:r>
    </w:p>
    <w:p>
      <w:pPr>
        <w:spacing w:line="276" w:lineRule="auto" w:after="60"/>
      </w:pPr>
      <w:r>
        <w:rPr>
          <w:rFonts w:ascii="Arial" w:hAnsi="Arial"/>
          <w:b/>
          <w:sz w:val="21"/>
        </w:rPr>
        <w:t>1. Introducción y Marco de Gestión de Servicios TI</w:t>
      </w:r>
    </w:p>
    <w:p>
      <w:pPr>
        <w:spacing w:line="276" w:lineRule="auto" w:after="60"/>
      </w:pPr>
      <w:r>
        <w:rPr>
          <w:rFonts w:ascii="Arial" w:hAnsi="Arial"/>
          <w:b/>
          <w:sz w:val="21"/>
        </w:rPr>
        <w:t>2. Desarrollo de la Estrategia de Servicios TI</w:t>
      </w:r>
    </w:p>
    <w:p>
      <w:pPr>
        <w:spacing w:line="276" w:lineRule="auto" w:after="60"/>
      </w:pPr>
      <w:r>
        <w:rPr>
          <w:rFonts w:ascii="Arial" w:hAnsi="Arial"/>
          <w:sz w:val="21"/>
        </w:rPr>
        <w:t xml:space="preserve">   2.1. ¿Qué servicios debemos ofrecer? (Portafolio y Catálogo de Servicios)</w:t>
      </w:r>
    </w:p>
    <w:p>
      <w:pPr>
        <w:spacing w:line="276" w:lineRule="auto" w:after="60"/>
      </w:pPr>
      <w:r>
        <w:rPr>
          <w:rFonts w:ascii="Arial" w:hAnsi="Arial"/>
          <w:sz w:val="21"/>
        </w:rPr>
        <w:t xml:space="preserve">   2.2. ¿Cuál es su valor? (Definición de Valor: Utilidad y Garantía)</w:t>
      </w:r>
    </w:p>
    <w:p>
      <w:pPr>
        <w:spacing w:line="276" w:lineRule="auto" w:after="60"/>
      </w:pPr>
      <w:r>
        <w:rPr>
          <w:rFonts w:ascii="Arial" w:hAnsi="Arial"/>
          <w:sz w:val="21"/>
        </w:rPr>
        <w:t xml:space="preserve">   2.3. ¿Cuáles son los resultados esperados? (Metas Cualitativas y Cuantitativas)</w:t>
      </w:r>
    </w:p>
    <w:p>
      <w:pPr>
        <w:spacing w:line="276" w:lineRule="auto" w:after="60"/>
      </w:pPr>
      <w:r>
        <w:rPr>
          <w:rFonts w:ascii="Arial" w:hAnsi="Arial"/>
          <w:sz w:val="21"/>
        </w:rPr>
        <w:t xml:space="preserve">   2.4. ¿Cuáles son nuestros clientes potenciales? (Segmentación y Perfiles de Mercado)</w:t>
      </w:r>
    </w:p>
    <w:p>
      <w:pPr>
        <w:spacing w:line="276" w:lineRule="auto" w:after="60"/>
      </w:pPr>
      <w:r>
        <w:rPr>
          <w:rFonts w:ascii="Arial" w:hAnsi="Arial"/>
          <w:sz w:val="21"/>
        </w:rPr>
        <w:t xml:space="preserve">   2.5. ¿Qué servicios son prioritarios? (Matriz de Priorización Estratégica)</w:t>
      </w:r>
    </w:p>
    <w:p>
      <w:pPr>
        <w:spacing w:line="276" w:lineRule="auto" w:after="60"/>
      </w:pPr>
      <w:r>
        <w:rPr>
          <w:rFonts w:ascii="Arial" w:hAnsi="Arial"/>
          <w:sz w:val="21"/>
        </w:rPr>
        <w:t xml:space="preserve">   2.6. ¿Qué inversiones son necesarias? (Presupuesto y Recursos Financieros)</w:t>
      </w:r>
    </w:p>
    <w:p>
      <w:pPr>
        <w:spacing w:line="276" w:lineRule="auto" w:after="60"/>
      </w:pPr>
      <w:r>
        <w:rPr>
          <w:rFonts w:ascii="Arial" w:hAnsi="Arial"/>
          <w:sz w:val="21"/>
        </w:rPr>
        <w:t xml:space="preserve">   2.7. ¿Qué servicios existen en el mercado que representen competencia directa? (Benchmarking)</w:t>
      </w:r>
    </w:p>
    <w:p>
      <w:pPr>
        <w:spacing w:line="276" w:lineRule="auto" w:after="60"/>
      </w:pPr>
      <w:r>
        <w:rPr>
          <w:rFonts w:ascii="Arial" w:hAnsi="Arial"/>
          <w:sz w:val="21"/>
        </w:rPr>
        <w:t xml:space="preserve">   2.8. ¿Cómo podemos diferenciarnos de la competencia? (Propuesta de Valor Única)</w:t>
      </w:r>
    </w:p>
    <w:p>
      <w:pPr>
        <w:spacing w:line="276" w:lineRule="auto" w:after="60"/>
      </w:pPr>
      <w:r>
        <w:rPr>
          <w:rFonts w:ascii="Arial" w:hAnsi="Arial"/>
          <w:b/>
          <w:sz w:val="21"/>
        </w:rPr>
        <w:t>3. Articulación de la Estrategia en las Fases del Ciclo de Vida del Servicio TI (ITIL)</w:t>
      </w:r>
    </w:p>
    <w:p>
      <w:pPr>
        <w:spacing w:line="276" w:lineRule="auto" w:after="60"/>
      </w:pPr>
      <w:r>
        <w:rPr>
          <w:rFonts w:ascii="Arial" w:hAnsi="Arial"/>
          <w:sz w:val="21"/>
        </w:rPr>
        <w:t xml:space="preserve">   3.1. Estrategia del Servicio (Service Strategy)</w:t>
      </w:r>
    </w:p>
    <w:p>
      <w:pPr>
        <w:spacing w:line="276" w:lineRule="auto" w:after="60"/>
      </w:pPr>
      <w:r>
        <w:rPr>
          <w:rFonts w:ascii="Arial" w:hAnsi="Arial"/>
          <w:sz w:val="21"/>
        </w:rPr>
        <w:t xml:space="preserve">   3.2. Diseño del Servicio (Service Design)</w:t>
      </w:r>
    </w:p>
    <w:p>
      <w:pPr>
        <w:spacing w:line="276" w:lineRule="auto" w:after="60"/>
      </w:pPr>
      <w:r>
        <w:rPr>
          <w:rFonts w:ascii="Arial" w:hAnsi="Arial"/>
          <w:sz w:val="21"/>
        </w:rPr>
        <w:t xml:space="preserve">   3.3. Transición del Servicio (Service Transition)</w:t>
      </w:r>
    </w:p>
    <w:p>
      <w:pPr>
        <w:spacing w:line="276" w:lineRule="auto" w:after="60"/>
      </w:pPr>
      <w:r>
        <w:rPr>
          <w:rFonts w:ascii="Arial" w:hAnsi="Arial"/>
          <w:sz w:val="21"/>
        </w:rPr>
        <w:t xml:space="preserve">   3.4. Operación del Servicio (Service Operation)</w:t>
      </w:r>
    </w:p>
    <w:p>
      <w:pPr>
        <w:spacing w:line="276" w:lineRule="auto" w:after="60"/>
      </w:pPr>
      <w:r>
        <w:rPr>
          <w:rFonts w:ascii="Arial" w:hAnsi="Arial"/>
          <w:sz w:val="21"/>
        </w:rPr>
        <w:t xml:space="preserve">   3.5. Mejora Continua del Servicio (Continual Service Improvement)</w:t>
      </w:r>
    </w:p>
    <w:p>
      <w:pPr>
        <w:spacing w:line="276" w:lineRule="auto" w:after="60"/>
      </w:pPr>
      <w:r>
        <w:rPr>
          <w:rFonts w:ascii="Arial" w:hAnsi="Arial"/>
          <w:b/>
          <w:sz w:val="21"/>
        </w:rPr>
        <w:t>4. Conclusiones Generales</w:t>
      </w:r>
    </w:p>
    <w:p>
      <w:pPr>
        <w:spacing w:line="276" w:lineRule="auto" w:after="60"/>
      </w:pPr>
      <w:r>
        <w:rPr>
          <w:rFonts w:ascii="Arial" w:hAnsi="Arial"/>
          <w:b/>
          <w:sz w:val="21"/>
        </w:rPr>
        <w:t>5. Referencias Bibliográficas (APA 7.ª edición)</w:t>
      </w:r>
    </w:p>
    <w:p>
      <w:r>
        <w:br w:type="page"/>
      </w:r>
    </w:p>
    <w:p>
      <w:pPr>
        <w:keepNext/>
        <w:spacing w:before="360" w:after="120" w:line="276" w:lineRule="auto"/>
      </w:pPr>
      <w:r>
        <w:rPr>
          <w:rFonts w:ascii="Arial" w:hAnsi="Arial"/>
          <w:b/>
          <w:color w:val="1A365D"/>
          <w:sz w:val="28"/>
        </w:rPr>
        <w:t>1. Introducción y Marco de Gestión de Servicios TI</w:t>
      </w:r>
    </w:p>
    <w:p>
      <w:r>
        <w:t>En la actualidad, las tecnologías de información han dejado de ser meras herramientas de soporte administrativo para convertirse en el núcleo estratégico que habilita, transforma y potencia los modelos de negocio. Bajo los principios de la Gestión de Servicios de Tecnologías de la Información (ITSM), formalizados en marcos de referencia reconocidos globalmente como ITIL (Information Technology Infrastructure Library) y el estándar internacional ISO/IEC 20000-1:2018, un servicio de TI se define como un medio para entregar valor a los clientes facilitando los resultados que ellos desean alcanzar, sin que estos deban asumir de forma directa la propiedad de costos y riesgos específicos (AXELOS, 2019; ISO/IEC, 2018).</w:t>
      </w:r>
    </w:p>
    <w:p>
      <w:r>
        <w:t>El presente documento expone la Estrategia Integral de Servicios TI diseñada por el equipo de proyecto para Monchis Café, una empresa gastronómica regional especializada en café orgánico de cooperativas campesinas y productos comerciales complementarios. La estrategia no se limita a describir un paquete de software aislado; por el contrario, estructura un ecosistema de servicios gestionados que articula las cinco fases del ciclo de vida de los servicios TI: Estrategia, Diseño, Transición, Operación y Mejora Continua. Con ello, se garantiza que la inversión tecnológica responda directamente a las necesidades del negocio en mostrador, a la sostenibilidad ecológica (alineada a los Objetivos de Desarrollo Sostenible ODS 8, 9, 12 y 16) y a una experiencia omnicanal superior para el comensal contemporáneo.</w:t>
      </w:r>
    </w:p>
    <w:p>
      <w:pPr>
        <w:keepNext/>
        <w:spacing w:before="360" w:after="120" w:line="276" w:lineRule="auto"/>
      </w:pPr>
      <w:r>
        <w:rPr>
          <w:rFonts w:ascii="Arial" w:hAnsi="Arial"/>
          <w:b/>
          <w:color w:val="1A365D"/>
          <w:sz w:val="28"/>
        </w:rPr>
        <w:t>2. Desarrollo de la Estrategia de Servicios TI</w:t>
      </w:r>
    </w:p>
    <w:p>
      <w:pPr>
        <w:keepNext/>
        <w:spacing w:before="280" w:after="80" w:line="276" w:lineRule="auto"/>
      </w:pPr>
      <w:r>
        <w:rPr>
          <w:rFonts w:ascii="Arial" w:hAnsi="Arial"/>
          <w:b/>
          <w:color w:val="2B4C7E"/>
          <w:sz w:val="24"/>
        </w:rPr>
        <w:t>2.1. ¿Qué servicios debemos ofrecer? (Portafolio y Catálogo de Servicios)</w:t>
      </w:r>
    </w:p>
    <w:p>
      <w:r>
        <w:t>Para estructurar la oferta tecnológica, adoptamos la metodología de catálogo de servicios de ITIL v3 e ITIL 4, clasificando los servicios en tres niveles complementarios: Servicios Principales (Core), Servicios Habilitadores (Enabling) y Servicios de Soporte y Garantía (Support &amp; Enhancing). Esta taxonomía permite visibilizar con claridad qué percibe el cliente final y qué capas de infraestructura, mensajería y seguridad sustentan la operación ininterrumpida de la cafetería.</w:t>
      </w:r>
    </w:p>
    <w:p>
      <w:r>
        <w:t>A. Servicios Principales (Core Services):</w:t>
        <w:br/>
        <w:t>1. Servicio de Punto de Venta Táctil (POS) Omnicanal y Procesamiento Multimodal de Pagos: Interfaz interactiva de alta velocidad optimizada para tabletas de barra (Vue 3 SPA). Facilita el registro inmediato de comandas, cobro simultáneo en efectivo (con cálculo automatizado de cambio), tarjetas mediante pasarelas comerciales (Stripe, Clip, Mercado Pago), transferencias electrónicas SPEI con clave de rastreo y emisión instantánea de recibos térmicos de 80 mm y tickets digitales.</w:t>
        <w:br/>
        <w:t>2. Servicio de Trazabilidad Integral de Café Orgánico y Gestión PEPS de Almacén: Registro granular de lotes de café de especialidad recibidos desde cooperativas campesinas (finca, altitud, perfil de tueste, fecha de tostado y caducidad). Garantiza rotación estricta PEPS (Primeras Entradas, Primeras Salidas) y genera códigos QR para que el cliente consulte en su smartphone el origen del grano servido en su taza.</w:t>
        <w:br/>
        <w:t>3. Servicio de Fidelización y Monedero Digital ('Monchis Rewards'): Tarjeta digital de sellos (8.ª bebida gratis tras 7 consumos acumulados), monedero de cashback (1 punto por cada $10 MXN gastados) y bonificación ecológica directa de $5.00 MXN al comensal que lleve termo o taza reutilizable (ODS 12).</w:t>
      </w:r>
    </w:p>
    <w:p>
      <w:r>
        <w:t>B. Servicios Habilitadores e Infraestructura (Enabling Services):</w:t>
        <w:br/>
        <w:t>4. Servicio de Plataforma Cloud y Orquestación Asíncrona (RabbitMQ + Patrón Saga): Broker de eventos distribuidos que garantiza consistencia. Si un pedido se cobra en barra pero el stock de insumo orgánico se agota por concurrencia, el orquestador Saga ejecuta transacciones compensatorias automáticas (reversas inmediatas) y desvía fallos no recuperables a la Dead Letter Queue (DLQ) con alerta administrativa por SMTP.</w:t>
        <w:br/>
        <w:t>5. Servicio de Almacenamiento Seguro y Persistencia Transaccional (PostgreSQL + Prisma): Base de datos relacional con integridad referencial, consultas parametrizadas contra inyección SQL y particionamiento de datos comerciales frente a insumos de especialidad.</w:t>
        <w:br/>
        <w:t>6. Servicio de Seguridad Perimetral, Autenticación Stateless y Control de Acceso (RBAC): Emisión de JWT rotativos con Refresh Token en cookies seguras httpOnly + Secure + SameSite=Strict, validación anti-bot mediante Google reCAPTCHA v2/v3 y autenticación de doble factor (2FA) para administradores.</w:t>
      </w:r>
    </w:p>
    <w:p>
      <w:r>
        <w:t>C. Servicios de Soporte y Operación (Support Services):</w:t>
        <w:br/>
        <w:t>7. Servicio de Mesa de Ayuda (Service Desk) y Asistencia Técnica Continua: Soporte remoto y telefónico para cajeros y baristas ante atascos de periféricos, fallos de red o dudas de operación bajo acuerdos de nivel de servicio (SLA).</w:t>
        <w:br/>
        <w:t>8. Servicio de Respaldo Automatizado y Recuperación ante Desastres (Disaster Recovery): Copias de seguridad diarias incrementales y semanales completas, cifradas y replicadas en la nube, con tiempo objetivo de recuperación (RTO) menor a 60 minutos.</w:t>
        <w:br/>
        <w:t>9. Servicio de Monitoreo Proactivo y Telemetría: Vigilancia continua de memoria, endpoints de salud (/api/health) y saturación de colas RabbitMQ.</w:t>
      </w:r>
    </w:p>
    <w:p>
      <w:pPr>
        <w:keepNext/>
        <w:spacing w:before="280" w:after="80" w:line="276" w:lineRule="auto"/>
      </w:pPr>
      <w:r>
        <w:rPr>
          <w:rFonts w:ascii="Arial" w:hAnsi="Arial"/>
          <w:b/>
          <w:color w:val="2B4C7E"/>
          <w:sz w:val="24"/>
        </w:rPr>
        <w:t>2.2. ¿Cuál es su valor? (Definición de Valor: Utilidad y Garantía)</w:t>
      </w:r>
    </w:p>
    <w:p>
      <w:r>
        <w:t>Siguiendo el principio fundamental de ITIL, el valor no reside en las herramientas técnicas por sí mismas, sino en la percepción de los resultados habilitados para el cliente. En la gestión de servicios TI, el valor se compone de dos dimensiones inseparables: Utilidad ('Fit for Purpose' —lo que el servicio hace para eliminar restricciones y mejorar el rendimiento) y Garantía ('Fit for Use' —la certeza de que el servicio estará disponible, tendrá la capacidad adecuada, será continuo y mantendrá la seguridad) (AXELOS, 2019; Steinberg, 2011).</w:t>
      </w:r>
    </w:p>
    <w:p>
      <w:r>
        <w:t>1. Utilidad Comprobada (Fit for Purpose):</w:t>
        <w:br/>
        <w:t>• Agilidad Extrema en Barra: El POS táctil reduce el tiempo medio de atención por comensal de 2.5 minutos a menos de 45 segundos, permitiendo atender hasta un 60 % más de clientes en horarios pico matutinos sin aumentar el personal de mostrador.</w:t>
        <w:br/>
        <w:t>• Cuadre de Caja Inmediato: El cierre de turno se automatiza en un clic, eliminando 40 minutos diarios de conteo manual y discrepancias contables.</w:t>
        <w:br/>
        <w:t>• Reducción de Mermas de Café en un 85 %: Las alertas preventivas de desgasificación y caducidad aseguran que ningún lote de café especial envejezca en almacén.</w:t>
      </w:r>
    </w:p>
    <w:p>
      <w:r>
        <w:t>2. Garantía Técnica (Fit for Use):</w:t>
        <w:br/>
        <w:t>• Alta Disponibilidad (99.9 %): Arquitectura contenerizada en Docker que previene caídas imprevistas del sistema durante la jornada comercial.</w:t>
        <w:br/>
        <w:t>• Consistencia Transaccional con Cero Ventas Fantasma: El patrón Saga garantiza que jamás se cobre un insumo agotado sin compensación automática.</w:t>
        <w:br/>
        <w:t>• Seguridad Robusta: El esquema de autenticación stateless y RBAC garantiza que el personal solo acceda a las funciones correspondientes a su rol, protegiendo los fondos de caja y la privacidad de los comensales.</w:t>
      </w:r>
    </w:p>
    <w:p>
      <w:pPr>
        <w:keepNext/>
        <w:spacing w:before="280" w:after="80" w:line="276" w:lineRule="auto"/>
      </w:pPr>
      <w:r>
        <w:rPr>
          <w:rFonts w:ascii="Arial" w:hAnsi="Arial"/>
          <w:b/>
          <w:color w:val="2B4C7E"/>
          <w:sz w:val="24"/>
        </w:rPr>
        <w:t>2.3. ¿Cuáles son los resultados esperados? (Metas Cualitativas y Cuantitativas)</w:t>
      </w:r>
    </w:p>
    <w:p>
      <w:r>
        <w:t>Para garantizar que la estrategia sea medible y auditable conforme a la fase de Mejora Continua de ITIL, se establecen metas cualitativas y cuantitativas vinculadas a Factores Críticos de Éxito (CSFs) e Indicadores Clave de Desempeño (KPIs):</w:t>
      </w:r>
    </w:p>
    <w:p>
      <w:pPr>
        <w:keepNext/>
        <w:spacing w:before="280" w:after="80" w:line="276" w:lineRule="auto"/>
      </w:pPr>
      <w:r>
        <w:rPr>
          <w:rFonts w:ascii="Arial" w:hAnsi="Arial"/>
          <w:b/>
          <w:color w:val="2B4C7E"/>
          <w:sz w:val="24"/>
        </w:rPr>
        <w:t>2.4. ¿Cuáles son nuestros clientes potenciales? (Segmentación y Perfiles de Mercado)</w:t>
      </w:r>
    </w:p>
    <w:p>
      <w:r>
        <w:t>La estrategia de servicios TI de Monchis Café estructura una segmentación dual que atiende tanto al cliente final que consume en barra como al personal interno y a potenciales franquiciatarios independientes que requieren una solución tecnológica especializada:</w:t>
      </w:r>
    </w:p>
    <w:p>
      <w:r>
        <w:t>• Segmento 1: Consumidores de Café de Especialidad y Nómadas Digitales. Comensales entre 22 y 55 años que valoran la procedencia orgánica, los métodos artesanales y la sostenibilidad. Demandan interfaces interactivas donde consultar el origen del café en su taza, métodos de pago rápidos sin contacto (contactless/SPEI) y recompensas de lealtad en su smartphone sin tarjetas plásticas contaminantes.</w:t>
        <w:br/>
        <w:t>• Segmento 2: Productores y Cooperativas Cafetaleras Regionales. Pequeños agricultores que buscan un canal justo y transparente para vender su grano de altura, beneficiándose del reconocimiento explícito de su finca y marca en el sistema de trazabilidad de Monchis Café.</w:t>
        <w:br/>
        <w:t>• Segmento 3: Personal Operativo y Gerencia de Monchis Café. Cajeros y baristas que precisan una pantalla táctil libre de errores, y administradores que necesitan auditar ingresos diarios, mermas de insumos y el retorno de inversión de campañas digitales en Instagram y Google Maps.</w:t>
        <w:br/>
        <w:t>• Segmento 4: Micro y Pequeñas Cafeterías Independientes (Modelo de Expansión SaaS). Establecimientos de 1 a 3 sucursales en ciudades medianas que están desatendidos por los complejos sistemas ERP restauranteros y limitados por terminales genéricas de cobro bancario.</w:t>
      </w:r>
    </w:p>
    <w:p>
      <w:pPr>
        <w:keepNext/>
        <w:spacing w:before="280" w:after="80" w:line="276" w:lineRule="auto"/>
      </w:pPr>
      <w:r>
        <w:rPr>
          <w:rFonts w:ascii="Arial" w:hAnsi="Arial"/>
          <w:b/>
          <w:color w:val="2B4C7E"/>
          <w:sz w:val="24"/>
        </w:rPr>
        <w:t>2.5. ¿Qué servicios son prioritarios? (Matriz de Priorización Estratégica)</w:t>
      </w:r>
    </w:p>
    <w:p>
      <w:r>
        <w:t>La priorización de servicios se fundamenta en una matriz de doble entrada que contrasta el Impacto en la Continuidad del Negocio con la Factibilidad Técnica y Recursos Disponibles, distribuyendo el esfuerzo en cuatro fases de despliegue progresivo:</w:t>
      </w:r>
    </w:p>
    <w:p>
      <w:r>
        <w:t>1. Prioridad 1 (Crítica e Inmediata - Semanas 1 a 4): Punto de Venta Táctil (POS), Procesamiento Multimodal de Pagos y Seguridad Stateless RBAC. Constituyen el núcleo vital sin el cual la cafetería no puede abrir sus puertas ni registrar cobros de manera legal y protegida.</w:t>
        <w:br/>
        <w:t>2. Prioridad 2 (Alta y Esencial - Semanas 5 a 8): Trazabilidad de Café Orgánico con rotación PEPS y la Infraestructura Resiliente RabbitMQ Saga. Sustentan la propuesta de valor diferencial del café de especialidad y blindan las transacciones simultáneas contra desabastos.</w:t>
        <w:br/>
        <w:t>3. Prioridad 3 (Media y Diferenciadora - Semanas 9 a 12): Programa de Fidelización Monchis Rewards (ODS 12) y Panel de Analítica con Atribución UTM. Consolidan la recurrencia del cliente y optimizan la inversión publicitaria una vez estabilizada la barra.</w:t>
        <w:br/>
        <w:t>4. Prioridad 4 (Soporte Continuo y Transversal): Mesa de Ayuda técnica, monitoreo proactivo mediante alertas SMTP y respaldos automatizados en la nube.</w:t>
      </w:r>
    </w:p>
    <w:p>
      <w:pPr>
        <w:keepNext/>
        <w:spacing w:before="280" w:after="80" w:line="276" w:lineRule="auto"/>
      </w:pPr>
      <w:r>
        <w:rPr>
          <w:rFonts w:ascii="Arial" w:hAnsi="Arial"/>
          <w:b/>
          <w:color w:val="2B4C7E"/>
          <w:sz w:val="24"/>
        </w:rPr>
        <w:t>2.6. ¿Qué inversiones son necesarias? (Presupuesto y Recursos Financieros)</w:t>
      </w:r>
    </w:p>
    <w:p>
      <w:r>
        <w:t>Para materializar la estrategia de servicios TI se requiere una inversión inicial en activos fijos (CAPEX) de $28,480 MXN y un gasto operativo recurrente mensual (OPEX) de $4,850 MXN. Esta estructura financiera es sumamente competitiva y representa un costo significativamente menor en comparación con el software restaurantero tradicional que cobra licencias privativas por cada estación instalada.</w:t>
      </w:r>
    </w:p>
    <w:p>
      <w:pPr>
        <w:keepNext/>
        <w:spacing w:before="280" w:after="80" w:line="276" w:lineRule="auto"/>
      </w:pPr>
      <w:r>
        <w:rPr>
          <w:rFonts w:ascii="Arial" w:hAnsi="Arial"/>
          <w:b/>
          <w:color w:val="2B4C7E"/>
          <w:sz w:val="24"/>
        </w:rPr>
        <w:t>2.7. ¿Qué servicios existen en el mercado que representen competencia directa? (Benchmarking)</w:t>
      </w:r>
    </w:p>
    <w:p>
      <w:r>
        <w:t>El mercado de software para alimentos y bebidas presenta diversas alternativas, pero ninguna combina la trazabilidad artesanal de café con resiliencia arquitectónica y herramientas de marketing local integradas:</w:t>
        <w:br/>
        <w:t>• Soft Restaurant: Líder tradicional en México para restaurantes de mediano y gran tamaño. Sin embargo, impone licencias muy costosas (más de $14,000 MXN iniciales), requiere pólizas de soporte anuales con costo extra, su interfaz es rígida y no incluye trazabilidad de lotes orgánicos.</w:t>
        <w:br/>
        <w:t>• Toast POS / Square: Plataformas internacionales modernas con excelente diseño visual, pero sus suscripciones mensuales en dólares resultan prohibitivas para cafeterías locales ($69 a $165 USD mensuales) y obligan a utilizar sus propias pasarelas con comisiones bancarias elevadas.</w:t>
        <w:br/>
        <w:t>• Clip Stand / Mercado Pago POS: Terminales de cobro accesibles en hardware, pero extremadamente básicas a nivel de software. Carecen de control PEPS de insumos, no ofrecen programas de fidelización gamificados por termo ni sincronización con campañas de marketing digital.</w:t>
      </w:r>
    </w:p>
    <w:p>
      <w:pPr>
        <w:keepNext/>
        <w:spacing w:before="280" w:after="80" w:line="276" w:lineRule="auto"/>
      </w:pPr>
      <w:r>
        <w:rPr>
          <w:rFonts w:ascii="Arial" w:hAnsi="Arial"/>
          <w:b/>
          <w:color w:val="2B4C7E"/>
          <w:sz w:val="24"/>
        </w:rPr>
        <w:t>2.8. ¿Cómo podemos diferenciarnos de la competencia? (Propuesta de Valor Única)</w:t>
      </w:r>
    </w:p>
    <w:p>
      <w:r>
        <w:t>Monchis Café construye una ventaja competitiva sustentable a través de cinco pilares de diferenciación:</w:t>
        <w:br/>
        <w:t>1. Especialización Nativa en Café de Especialidad y ODS 12: Modelado del ciclo real del grano (finca, altitud, tueste, PEPS) con código QR al comensal y bonificación por termo reusable.</w:t>
        <w:br/>
        <w:t>2. Resiliencia de Nivel Empresarial con RabbitMQ Saga: Eliminación de desajustes de caja e inventario mediante reversas automáticas inmediatas ante falta de stock.</w:t>
        <w:br/>
        <w:t>3. Conexión Directa entre SEO Local y Barra: Frontend prerenderizado (vite-ssg) con datos estructurados Schema.org y captura de UTMs que mide qué comensales provienen de Instagram o Google Maps.</w:t>
        <w:br/>
        <w:t>4. Cero Rentas Prohibitivas de Licencia: Arquitectura cloud ligera y contenerizada que evita ataduras con proveedores monopólicos de software comercial.</w:t>
        <w:br/>
        <w:t>5. Soporte Técnico Hiperlocal y Calidez Humana: Mesa de ayuda directa con ingenieros de software dedicados y SLAs garantizados en horarios de apertura.</w:t>
      </w:r>
    </w:p>
    <w:p>
      <w:pPr>
        <w:keepNext/>
        <w:spacing w:before="360" w:after="120" w:line="276" w:lineRule="auto"/>
      </w:pPr>
      <w:r>
        <w:rPr>
          <w:rFonts w:ascii="Arial" w:hAnsi="Arial"/>
          <w:b/>
          <w:color w:val="1A365D"/>
          <w:sz w:val="28"/>
        </w:rPr>
        <w:t>3. Articulación de la Estrategia en las Fases del Ciclo de Vida del Servicio TI (ITIL)</w:t>
      </w:r>
    </w:p>
    <w:p>
      <w:r>
        <w:t>La estrategia diseñada cobra vida a través de las cinco fases del ciclo de vida del servicio TI establecidas en el marco ITIL (AXELOS, 2019; Steinberg, 2011):</w:t>
        <w:br/>
        <w:br/>
        <w:t>3.1. Estrategia del Servicio (Service Strategy): Establece la alineación directa con la misión de Monchis Café. Gestiona el portafolio de servicios (separando el catálogo activo de las funcionalidades en desarrollo), define el modelo financiero de costos e ingresos, y analiza los patrones de demanda en barra para dimensionar los servidores durante las horas punta matutinas.</w:t>
        <w:br/>
        <w:br/>
        <w:t>3.2. Diseño del Servicio (Service Design): Traduce las necesidades estratégicas en especificaciones técnicas de servicio. Formaliza los Acuerdos de Nivel de Servicio (SLA) con la administración, diseña la arquitectura de seguridad con JWT stateless, reCAPTCHA y 2FA gerencial, define los planes de contingencia y continuidad (ITSCM) y diseña la capacidad para atender más de 50 peticiones simultáneas por segundo sin latencia perceptible.</w:t>
        <w:br/>
        <w:br/>
        <w:t>3.3. Transición del Servicio (Service Transition): Asegura que los nuevos servicios se desplieguen en producción sin disrupción operativa. Implementa prácticas de DevOps mediante integración continua (CI) en GitHub Actions, pruebas exhaustivas TDD con Vitest, Supertest y Playwright, gestión controlada de cambios mediante pull requests y capacitación interactiva para el personal de cafetería previo al lanzamiento.</w:t>
        <w:br/>
        <w:br/>
        <w:t>3.4. Operación del Servicio (Service Operation): Garantiza la efectividad diaria y estabilidad de los servicios en mostrador. Estructura una Mesa de Ayuda (Service Desk) escalonada (Nivel 0 cajero, Nivel 1 soporte remoto, Nivel 2 ingeniería de software), gestiona incidentes con un MTTR menor a 60 minutos, monitorea proactivamente la salud de endpoints y colas RabbitMQ, y audita las alertas canalizadas a la Dead Letter Queue.</w:t>
        <w:br/>
        <w:br/>
        <w:t>3.5. Mejora Continua del Servicio (Continual Service Improvement - CSI): Aplica el ciclo Deming (Plan-Do-Check-Act) para perfeccionar continuamente la plataforma. Evalúa trimestralmente los KPIs de atención en caja y adopción de lealtad, recopila retroalimentación cualitativa de baristas y clientes, y optimiza el uso de recursos en la nube para reducir el gasto operativo mensual.</w:t>
      </w:r>
    </w:p>
    <w:p>
      <w:pPr>
        <w:keepNext/>
        <w:spacing w:before="360" w:after="120" w:line="276" w:lineRule="auto"/>
      </w:pPr>
      <w:r>
        <w:rPr>
          <w:rFonts w:ascii="Arial" w:hAnsi="Arial"/>
          <w:b/>
          <w:color w:val="1A365D"/>
          <w:sz w:val="28"/>
        </w:rPr>
        <w:t>4. Conclusiones Generales</w:t>
      </w:r>
    </w:p>
    <w:p>
      <w:r>
        <w:t>El diseño de esta estrategia integral de servicios tecnológicos para Monchis Café demuestra con rigor que el valor de la informática no radica en la complejidad técnica aislada, sino en su capacidad para habilitar metas de negocio tangibles y resolver problemas humanos concretos. Articular las cinco fases de ITIL permitió transformar los obstáculos cotidianos de un establecimiento gastronómico —filas lentas en caja, descuadres contables, pérdida de frescura en insumos orgánicos y licencias comerciales asfixiantes— en una oferta de servicios diferenciada, altamente rentable y ecológicamente comprometida.</w:t>
        <w:br/>
        <w:br/>
        <w:t>La inversión inicial de $28,480 MXN y el gasto operativo de $4,850 MXN mensuales se amortizan con creces mediante la reducción del 85 % en mermas de café, la aceleración de cobro en barra y el ahorro de más de $36,000 MXN anuales frente al licenciamiento privativo. Asimismo, la vinculación con los Objetivos de Desarrollo Sostenible (ODS 8 y 12) confiere a Monchis Café una identidad ética y atractiva para las nuevas generaciones.</w:t>
        <w:br/>
        <w:br/>
        <w:t>Para nuestro equipo de estudiantes de Ingeniería en Computación de la Universidad de Guadalajara, este proyecto consolida un aprendizaje fundamental: el verdadero ingeniero de software trasciende la escritura de código para convertirse en un estratega y arquitecto de servicios capaz de entregar soluciones tecnológicas confiables, viables y transformadoras para su comunidad.</w:t>
      </w:r>
    </w:p>
    <w:p>
      <w:pPr>
        <w:keepNext/>
        <w:spacing w:before="360" w:after="120" w:line="276" w:lineRule="auto"/>
      </w:pPr>
      <w:r>
        <w:rPr>
          <w:rFonts w:ascii="Arial" w:hAnsi="Arial"/>
          <w:b/>
          <w:color w:val="1A365D"/>
          <w:sz w:val="28"/>
        </w:rPr>
        <w:t>5. Referencias Bibliográficas</w:t>
      </w:r>
    </w:p>
    <w:p>
      <w:pPr>
        <w:spacing w:line="276" w:lineRule="auto" w:before="0" w:after="120"/>
        <w:ind w:left="720" w:hanging="720"/>
      </w:pPr>
      <w:r>
        <w:rPr>
          <w:rFonts w:ascii="Arial" w:hAnsi="Arial"/>
          <w:sz w:val="20"/>
        </w:rPr>
        <w:t>AXELOS. (2019). ITIL foundation: ITIL 4 edition. TSO (The Stationery Office).</w:t>
      </w:r>
    </w:p>
    <w:p>
      <w:pPr>
        <w:spacing w:line="276" w:lineRule="auto" w:before="0" w:after="120"/>
        <w:ind w:left="720" w:hanging="720"/>
      </w:pPr>
      <w:r>
        <w:rPr>
          <w:rFonts w:ascii="Arial" w:hAnsi="Arial"/>
          <w:sz w:val="20"/>
        </w:rPr>
        <w:t>Bass, L., Weber, I., &amp; Zhu, L. (2015). DevOps: A software architect's perspective. Addison-Wesley.</w:t>
      </w:r>
    </w:p>
    <w:p>
      <w:pPr>
        <w:spacing w:line="276" w:lineRule="auto" w:before="0" w:after="120"/>
        <w:ind w:left="720" w:hanging="720"/>
      </w:pPr>
      <w:r>
        <w:rPr>
          <w:rFonts w:ascii="Arial" w:hAnsi="Arial"/>
          <w:sz w:val="20"/>
        </w:rPr>
        <w:t>International Organization for Standardization, &amp; International Electrotechnical Commission. (2018). Information technology — Service management — Part 1: Service management system requirements (ISO/IEC Standard No. 20000-1:2018). ISO/IEC. https://www.iso.org/standard/70636.html</w:t>
      </w:r>
    </w:p>
    <w:p>
      <w:pPr>
        <w:spacing w:line="276" w:lineRule="auto" w:before="0" w:after="120"/>
        <w:ind w:left="720" w:hanging="720"/>
      </w:pPr>
      <w:r>
        <w:rPr>
          <w:rFonts w:ascii="Arial" w:hAnsi="Arial"/>
          <w:sz w:val="20"/>
        </w:rPr>
        <w:t>International Organization for Standardization, &amp; International Electrotechnical Commission. (2022). Information security, cybersecurity and privacy protection — Information security management systems — Requirements (ISO/IEC Standard No. 27001:2022). ISO/IEC. https://www.iso.org/standard/82875.html</w:t>
      </w:r>
    </w:p>
    <w:p>
      <w:pPr>
        <w:spacing w:line="276" w:lineRule="auto" w:before="0" w:after="120"/>
        <w:ind w:left="720" w:hanging="720"/>
      </w:pPr>
      <w:r>
        <w:rPr>
          <w:rFonts w:ascii="Arial" w:hAnsi="Arial"/>
          <w:sz w:val="20"/>
        </w:rPr>
        <w:t>Kerzner, H. (2022). Project management: A systems approach to planning, scheduling, and controlling (13th ed.). John Wiley &amp; Sons.</w:t>
      </w:r>
    </w:p>
    <w:p>
      <w:pPr>
        <w:spacing w:line="276" w:lineRule="auto" w:before="0" w:after="120"/>
        <w:ind w:left="720" w:hanging="720"/>
      </w:pPr>
      <w:r>
        <w:rPr>
          <w:rFonts w:ascii="Arial" w:hAnsi="Arial"/>
          <w:sz w:val="20"/>
        </w:rPr>
        <w:t>Kim, G., Humble, J., Debois, P., &amp; Willis, J. (2016). The DevOps handbook: How to create world-class agility, reliability, and security in technology organizations. IT Revolution Press.</w:t>
      </w:r>
    </w:p>
    <w:p>
      <w:pPr>
        <w:spacing w:line="276" w:lineRule="auto" w:before="0" w:after="120"/>
        <w:ind w:left="720" w:hanging="720"/>
      </w:pPr>
      <w:r>
        <w:rPr>
          <w:rFonts w:ascii="Arial" w:hAnsi="Arial"/>
          <w:sz w:val="20"/>
        </w:rPr>
        <w:t>Newman, S. (2021). Building microservices: Designing fine-grained systems (2nd ed.). O'Reilly Media.</w:t>
      </w:r>
    </w:p>
    <w:p>
      <w:pPr>
        <w:spacing w:line="276" w:lineRule="auto" w:before="0" w:after="120"/>
        <w:ind w:left="720" w:hanging="720"/>
      </w:pPr>
      <w:r>
        <w:rPr>
          <w:rFonts w:ascii="Arial" w:hAnsi="Arial"/>
          <w:sz w:val="20"/>
        </w:rPr>
        <w:t>Steinberg, R. (2011). ITIL service strategy (2011 ed.). TSO (The Stationery Office).</w:t>
      </w:r>
    </w:p>
    <w:p>
      <w:pPr>
        <w:spacing w:line="276" w:lineRule="auto" w:before="0" w:after="120"/>
        <w:ind w:left="720" w:hanging="720"/>
      </w:pPr>
      <w:r>
        <w:rPr>
          <w:rFonts w:ascii="Arial" w:hAnsi="Arial"/>
          <w:sz w:val="20"/>
        </w:rPr>
        <w:t>Van Bon, J., de Jong, A., Kolthof, A., Pieper, M., Tjassing, R., van der Veen, A., &amp; Verheijen, T. (2008). IT service management: An introduction based on ITIL V3. Van Haren Publishing.</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718096"/>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pPr>
    <w:rPr>
      <w:rFonts w:ascii="Arial" w:hAnsi="Arial"/>
      <w:color w:val="1A20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