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1: INTENCIÓN — Foco: QUÉ</w:t>
      </w:r>
    </w:p>
    <w:p>
      <w:pPr>
        <w:spacing w:before="200" w:after="80"/>
      </w:pPr>
      <w:r>
        <w:rPr>
          <w:rFonts w:ascii="Segoe UI" w:hAnsi="Segoe UI"/>
          <w:b/>
          <w:color w:val="8C6B52"/>
          <w:sz w:val="28"/>
        </w:rPr>
        <w:t>Características del Sistema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En la ingeniería de software y la gestión de proyectos, definir las características de un sistema no es simplemente hacer una lista de deseos o describir pantallas bonitas. Como señalan Pressman y Maxim (2021), las características representan el conjunto de propiedades funcionales y capacidades observables que el software debe ofrecer para satisfacer las necesidades del cliente. Si no se delimitan con claridad desde el primer momento, caemos en lo que en gestión se conoce como corrupción del alcance (*scope creep*), donde se agregan funciones al vapor sin planeación ni presupuesto (Project Management Institute, 2017).</w:t>
      </w:r>
    </w:p>
    <w:p>
      <w:pPr>
        <w:spacing w:before="40" w:after="60" w:line="276" w:lineRule="auto"/>
      </w:pPr>
      <w:r>
        <w:rPr>
          <w:rFonts w:ascii="Segoe UI" w:hAnsi="Segoe UI"/>
          <w:color w:val="2D3748"/>
          <w:sz w:val="19"/>
        </w:rPr>
        <w:t xml:space="preserve">Desde la perspectiva de la Matriz de Zachman (1987), la celda </w:t>
      </w:r>
      <w:r>
        <w:rPr>
          <w:rFonts w:ascii="Segoe UI" w:hAnsi="Segoe UI"/>
          <w:b/>
          <w:color w:val="2D3748"/>
          <w:sz w:val="19"/>
        </w:rPr>
        <w:t>Intención - Qué</w:t>
      </w:r>
      <w:r>
        <w:rPr>
          <w:rFonts w:ascii="Segoe UI" w:hAnsi="Segoe UI"/>
          <w:color w:val="2D3748"/>
          <w:sz w:val="19"/>
        </w:rPr>
        <w:t xml:space="preserve"> (Nivel Contextual / Planificador) responde a la pregunta más básica del negocio: *¿Qué cosas materiales, datos y capacidades existen en el entorno que el sistema debe gestionar?* Para Sommerville (2011), esta etapa marca la frontera entre lo que el negocio realmente necesita operar y lo que queda fuera de la solución. En una cafetería que combina la venta de café orgánico de especialidad con repostería comercial, el sistema debe ser capaz de modelar tanto la calidez del servicio como la rigurosidad del control de inventarios y la seguridad en los cobros.</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Características Principales de Monchis Café</w:t>
      </w:r>
    </w:p>
    <w:p>
      <w:pPr>
        <w:spacing w:before="40" w:after="60" w:line="276" w:lineRule="auto"/>
      </w:pPr>
      <w:r>
        <w:rPr>
          <w:rFonts w:ascii="Segoe UI" w:hAnsi="Segoe UI"/>
          <w:color w:val="2D3748"/>
          <w:sz w:val="19"/>
        </w:rPr>
        <w:t>A partir de los requerimientos y el modelo de negocio de Monchis Café, el sistema se estructura en torno a las siguientes características esenciales: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CARACTERÍSTICAS NÚCLEO — MONCHIS CAFÉ                        |</w:t>
              <w:br/>
              <w:t>+----------------------------------------------------------------------------------+</w:t>
              <w:br/>
              <w:t>| 1. Catálogo Segmentado      | Distinción clara entre café de especialidad         |</w:t>
              <w:br/>
              <w:t>|    y Trazabilidad           | bajo sombra y productos comerciales.                |</w:t>
              <w:br/>
              <w:t>+-----------------------------+----------------------------------------------------+</w:t>
              <w:br/>
              <w:t>| 2. Punto de Venta (POS)     | Venta ágil de mostrador, atajos de teclado (F2),   |</w:t>
              <w:br/>
              <w:t>|    Multipago en Mostrador   | soporte para lector de código de barras 1D/2D.     |</w:t>
              <w:br/>
              <w:t>+-----------------------------+----------------------------------------------------+</w:t>
              <w:br/>
              <w:t>| 3. Monchis Rewards          | Tarjeta digital de 8 sellos y bonificación         |</w:t>
              <w:br/>
              <w:t>|    y Enfoque ODS 12         | ecológica ($5.00 MXN) por uso de termo reusable.   |</w:t>
              <w:br/>
              <w:t>+-----------------------------+----------------------------------------------------+</w:t>
              <w:br/>
              <w:t>| 4. Control de Inventarios   | Algoritmo PEPS (Primeras Entradas, Primeras Salidas)|</w:t>
              <w:br/>
              <w:t>|    y Alertas Sanitarias     | con alertas preventivas por correo SMTP.           |</w:t>
              <w:br/>
              <w:t>+-----------------------------+----------------------------------------------------+</w:t>
              <w:br/>
              <w:t>| 5. Autenticación Stateless  | Seguridad basada en JWT en memoria, cookies        |</w:t>
              <w:br/>
              <w:t>|    y Protección Web         | httpOnly, Google reCAPTCHA y 2FA para Admin.       |</w:t>
              <w:br/>
              <w:t>+-----------------------------+----------------------------------------------------+</w:t>
              <w:br/>
              <w:t>| 6. Analítica y Atribución   | Registro de canales de adquisición (Google Maps,   |</w:t>
              <w:br/>
              <w:t>|    de Tráfico Digital       | Instagram y directo) con exportación en PDF/Excel. |</w:t>
              <w:br/>
              <w:t>+----------------------------------------------------------------------------------+</w:t>
            </w:r>
          </w:p>
        </w:tc>
      </w:tr>
    </w:tbl>
    <w:p>
      <w:pPr>
        <w:spacing w:after="80"/>
      </w:pPr>
    </w:p>
    <w:p>
      <w:pPr>
        <w:spacing w:before="120" w:after="40"/>
      </w:pPr>
      <w:r>
        <w:rPr>
          <w:rFonts w:ascii="Segoe UI" w:hAnsi="Segoe UI"/>
          <w:b/>
          <w:color w:val="2D3748"/>
          <w:sz w:val="20"/>
        </w:rPr>
        <w:t>2.1 Catálogo Segmentado y Trazabilidad de Origen</w:t>
      </w:r>
    </w:p>
    <w:p>
      <w:pPr>
        <w:spacing w:before="40" w:after="60" w:line="276" w:lineRule="auto"/>
      </w:pPr>
      <w:r>
        <w:rPr>
          <w:rFonts w:ascii="Segoe UI" w:hAnsi="Segoe UI"/>
          <w:color w:val="2D3748"/>
          <w:sz w:val="19"/>
        </w:rPr>
        <w:t>El sistema clasifica el catálogo en dos categorías operativas:</w:t>
      </w:r>
    </w:p>
    <w:p>
      <w:pPr>
        <w:pStyle w:val="ListBullet"/>
        <w:spacing w:before="20" w:after="40" w:line="276" w:lineRule="auto"/>
      </w:pPr>
      <w:r>
        <w:rPr>
          <w:rFonts w:ascii="Segoe UI" w:hAnsi="Segoe UI"/>
          <w:color w:val="2D3748"/>
          <w:sz w:val="19"/>
        </w:rPr>
      </w:r>
      <w:r>
        <w:rPr>
          <w:rFonts w:ascii="Segoe UI" w:hAnsi="Segoe UI"/>
          <w:b/>
          <w:color w:val="2D3748"/>
          <w:sz w:val="19"/>
        </w:rPr>
        <w:t>Línea Orgánica:</w:t>
      </w:r>
      <w:r>
        <w:rPr>
          <w:rFonts w:ascii="Segoe UI" w:hAnsi="Segoe UI"/>
          <w:color w:val="2D3748"/>
          <w:sz w:val="19"/>
        </w:rPr>
        <w:t xml:space="preserve"> Granos de café arábica cultivados bajo sombra por cooperativas campesinas de Michoacán, Oaxaca y Chiapas. Cada producto incluye información de su finca, altitud (msnm), notas de cata y fecha de tostado.</w:t>
      </w:r>
    </w:p>
    <w:p>
      <w:pPr>
        <w:pStyle w:val="ListBullet"/>
        <w:spacing w:before="20" w:after="40" w:line="276" w:lineRule="auto"/>
      </w:pPr>
      <w:r>
        <w:rPr>
          <w:rFonts w:ascii="Segoe UI" w:hAnsi="Segoe UI"/>
          <w:color w:val="2D3748"/>
          <w:sz w:val="19"/>
        </w:rPr>
      </w:r>
      <w:r>
        <w:rPr>
          <w:rFonts w:ascii="Segoe UI" w:hAnsi="Segoe UI"/>
          <w:b/>
          <w:color w:val="2D3748"/>
          <w:sz w:val="19"/>
        </w:rPr>
        <w:t>Línea Comercial:</w:t>
      </w:r>
      <w:r>
        <w:rPr>
          <w:rFonts w:ascii="Segoe UI" w:hAnsi="Segoe UI"/>
          <w:color w:val="2D3748"/>
          <w:sz w:val="19"/>
        </w:rPr>
        <w:t xml:space="preserve"> Bebidas frías embotelladas, leches vegetales y repostería de consumo masivo con control convencional de existencias.</w:t>
      </w:r>
    </w:p>
    <w:p>
      <w:pPr>
        <w:spacing w:before="120" w:after="40"/>
      </w:pPr>
      <w:r>
        <w:rPr>
          <w:rFonts w:ascii="Segoe UI" w:hAnsi="Segoe UI"/>
          <w:b/>
          <w:color w:val="2D3748"/>
          <w:sz w:val="20"/>
        </w:rPr>
        <w:t>2.2 Punto de Venta (POS) Ágil y Flexible</w:t>
      </w:r>
    </w:p>
    <w:p>
      <w:pPr>
        <w:spacing w:before="40" w:after="60" w:line="276" w:lineRule="auto"/>
      </w:pPr>
      <w:r>
        <w:rPr>
          <w:rFonts w:ascii="Segoe UI" w:hAnsi="Segoe UI"/>
          <w:color w:val="2D3748"/>
          <w:sz w:val="19"/>
        </w:rPr>
        <w:t>Diseñado para la atención física rápida en el mostrador:</w:t>
      </w:r>
    </w:p>
    <w:p>
      <w:pPr>
        <w:pStyle w:val="ListBullet"/>
        <w:spacing w:before="20" w:after="40" w:line="276" w:lineRule="auto"/>
      </w:pPr>
      <w:r>
        <w:rPr>
          <w:rFonts w:ascii="Segoe UI" w:hAnsi="Segoe UI"/>
          <w:color w:val="2D3748"/>
          <w:sz w:val="19"/>
        </w:rPr>
        <w:t xml:space="preserve">Soporte para múltiples formas de pago: </w:t>
      </w:r>
      <w:r>
        <w:rPr>
          <w:rFonts w:ascii="Segoe UI" w:hAnsi="Segoe UI"/>
          <w:b/>
          <w:color w:val="2D3748"/>
          <w:sz w:val="19"/>
        </w:rPr>
        <w:t>Efectivo</w:t>
      </w:r>
      <w:r>
        <w:rPr>
          <w:rFonts w:ascii="Segoe UI" w:hAnsi="Segoe UI"/>
          <w:color w:val="2D3748"/>
          <w:sz w:val="19"/>
        </w:rPr>
        <w:t xml:space="preserve"> (con cálculo automático del cambio), </w:t>
      </w:r>
      <w:r>
        <w:rPr>
          <w:rFonts w:ascii="Segoe UI" w:hAnsi="Segoe UI"/>
          <w:b/>
          <w:color w:val="2D3748"/>
          <w:sz w:val="19"/>
        </w:rPr>
        <w:t>Tarjeta de Crédito/Débito</w:t>
      </w:r>
      <w:r>
        <w:rPr>
          <w:rFonts w:ascii="Segoe UI" w:hAnsi="Segoe UI"/>
          <w:color w:val="2D3748"/>
          <w:sz w:val="19"/>
        </w:rPr>
        <w:t xml:space="preserve">, </w:t>
      </w:r>
      <w:r>
        <w:rPr>
          <w:rFonts w:ascii="Segoe UI" w:hAnsi="Segoe UI"/>
          <w:b/>
          <w:color w:val="2D3748"/>
          <w:sz w:val="19"/>
        </w:rPr>
        <w:t>Transferencia/SPEI</w:t>
      </w:r>
      <w:r>
        <w:rPr>
          <w:rFonts w:ascii="Segoe UI" w:hAnsi="Segoe UI"/>
          <w:color w:val="2D3748"/>
          <w:sz w:val="19"/>
        </w:rPr>
        <w:t xml:space="preserve"> (con captura obligatoria de la clave de rastreo bancaria) y </w:t>
      </w:r>
      <w:r>
        <w:rPr>
          <w:rFonts w:ascii="Segoe UI" w:hAnsi="Segoe UI"/>
          <w:b/>
          <w:color w:val="2D3748"/>
          <w:sz w:val="19"/>
        </w:rPr>
        <w:t>Pago Mixto</w:t>
      </w:r>
      <w:r>
        <w:rPr>
          <w:rFonts w:ascii="Segoe UI" w:hAnsi="Segoe UI"/>
          <w:color w:val="2D3748"/>
          <w:sz w:val="19"/>
        </w:rPr>
        <w:t>.</w:t>
      </w:r>
    </w:p>
    <w:p>
      <w:pPr>
        <w:pStyle w:val="ListBullet"/>
        <w:spacing w:before="20" w:after="40" w:line="276" w:lineRule="auto"/>
      </w:pPr>
      <w:r>
        <w:rPr>
          <w:rFonts w:ascii="Segoe UI" w:hAnsi="Segoe UI"/>
          <w:color w:val="2D3748"/>
          <w:sz w:val="19"/>
        </w:rPr>
        <w:t>Interfaz reactiva adaptada para pantallas táctiles y teclado rápido (atajos `F2` para cobrar y `Esc` para limpiar el carrito).</w:t>
      </w:r>
    </w:p>
    <w:p>
      <w:pPr>
        <w:pStyle w:val="ListBullet"/>
        <w:spacing w:before="20" w:after="40" w:line="276" w:lineRule="auto"/>
      </w:pPr>
      <w:r>
        <w:rPr>
          <w:rFonts w:ascii="Segoe UI" w:hAnsi="Segoe UI"/>
          <w:color w:val="2D3748"/>
          <w:sz w:val="19"/>
        </w:rPr>
        <w:t>Integración fluida con lectores de códigos de barras USB/HID para lectura directa del empaque del café.</w:t>
      </w:r>
    </w:p>
    <w:p>
      <w:pPr>
        <w:spacing w:before="120" w:after="40"/>
      </w:pPr>
      <w:r>
        <w:rPr>
          <w:rFonts w:ascii="Segoe UI" w:hAnsi="Segoe UI"/>
          <w:b/>
          <w:color w:val="2D3748"/>
          <w:sz w:val="20"/>
        </w:rPr>
        <w:t>2.3 Programa de Fidelización "Monchis Rewards" y Bono Ecológico (ODS 12)</w:t>
      </w:r>
    </w:p>
    <w:p>
      <w:pPr>
        <w:spacing w:before="40" w:after="60" w:line="276" w:lineRule="auto"/>
      </w:pPr>
      <w:r>
        <w:rPr>
          <w:rFonts w:ascii="Segoe UI" w:hAnsi="Segoe UI"/>
          <w:color w:val="2D3748"/>
          <w:sz w:val="19"/>
        </w:rPr>
        <w:t>Fomentamos el consumo consciente alineado con la Meta 12.5 de los Objetivos de Desarrollo Sostenible (reducción de desechos):</w:t>
      </w:r>
    </w:p>
    <w:p>
      <w:pPr>
        <w:pStyle w:val="ListBullet"/>
        <w:spacing w:before="20" w:after="40" w:line="276" w:lineRule="auto"/>
      </w:pPr>
      <w:r>
        <w:rPr>
          <w:rFonts w:ascii="Segoe UI" w:hAnsi="Segoe UI"/>
          <w:color w:val="2D3748"/>
          <w:sz w:val="19"/>
        </w:rPr>
      </w:r>
      <w:r>
        <w:rPr>
          <w:rFonts w:ascii="Segoe UI" w:hAnsi="Segoe UI"/>
          <w:b/>
          <w:color w:val="2D3748"/>
          <w:sz w:val="19"/>
        </w:rPr>
        <w:t>Bonificación Ecológica:</w:t>
      </w:r>
      <w:r>
        <w:rPr>
          <w:rFonts w:ascii="Segoe UI" w:hAnsi="Segoe UI"/>
          <w:color w:val="2D3748"/>
          <w:sz w:val="19"/>
        </w:rPr>
        <w:t xml:space="preserve"> Descuento directo de \$5.00 MXN o sellos dobles cuando el cliente presenta su propio termo o taza reutilizable en caja, desincentivando el uso de vasos desechables de un solo uso.</w:t>
      </w:r>
    </w:p>
    <w:p>
      <w:pPr>
        <w:pStyle w:val="ListBullet"/>
        <w:spacing w:before="20" w:after="40" w:line="276" w:lineRule="auto"/>
      </w:pPr>
      <w:r>
        <w:rPr>
          <w:rFonts w:ascii="Segoe UI" w:hAnsi="Segoe UI"/>
          <w:color w:val="2D3748"/>
          <w:sz w:val="19"/>
        </w:rPr>
      </w:r>
      <w:r>
        <w:rPr>
          <w:rFonts w:ascii="Segoe UI" w:hAnsi="Segoe UI"/>
          <w:b/>
          <w:color w:val="2D3748"/>
          <w:sz w:val="19"/>
        </w:rPr>
        <w:t>Tarjeta Digital de Sellos:</w:t>
      </w:r>
      <w:r>
        <w:rPr>
          <w:rFonts w:ascii="Segoe UI" w:hAnsi="Segoe UI"/>
          <w:color w:val="2D3748"/>
          <w:sz w:val="19"/>
        </w:rPr>
        <w:t xml:space="preserve"> Acumulación automática de 1 sello por cada bebida preparada; al llegar a 7 sellos, el sistema otorga el 8vo café de cortesía.</w:t>
      </w:r>
    </w:p>
    <w:p>
      <w:pPr>
        <w:spacing w:before="120" w:after="40"/>
      </w:pPr>
      <w:r>
        <w:rPr>
          <w:rFonts w:ascii="Segoe UI" w:hAnsi="Segoe UI"/>
          <w:b/>
          <w:color w:val="2D3748"/>
          <w:sz w:val="20"/>
        </w:rPr>
        <w:t>2.4 Control de Inventario PEPS y Alertas Sanitarias</w:t>
      </w:r>
    </w:p>
    <w:p>
      <w:pPr>
        <w:spacing w:before="40" w:after="60" w:line="276" w:lineRule="auto"/>
      </w:pPr>
      <w:r>
        <w:rPr>
          <w:rFonts w:ascii="Segoe UI" w:hAnsi="Segoe UI"/>
          <w:color w:val="2D3748"/>
          <w:sz w:val="19"/>
        </w:rPr>
        <w:t>Para evitar mermas en alimentos perecederos y granos tostados (ODS 12, Meta 12.3):</w:t>
      </w:r>
    </w:p>
    <w:p>
      <w:pPr>
        <w:pStyle w:val="ListBullet"/>
        <w:spacing w:before="20" w:after="40" w:line="276" w:lineRule="auto"/>
      </w:pPr>
      <w:r>
        <w:rPr>
          <w:rFonts w:ascii="Segoe UI" w:hAnsi="Segoe UI"/>
          <w:color w:val="2D3748"/>
          <w:sz w:val="19"/>
        </w:rPr>
        <w:t xml:space="preserve">El inventario opera estrictamente bajo el método </w:t>
      </w:r>
      <w:r>
        <w:rPr>
          <w:rFonts w:ascii="Segoe UI" w:hAnsi="Segoe UI"/>
          <w:b/>
          <w:color w:val="2D3748"/>
          <w:sz w:val="19"/>
        </w:rPr>
        <w:t>PEPS (Primeras Entradas, Primeras Salidas)</w:t>
      </w:r>
      <w:r>
        <w:rPr>
          <w:rFonts w:ascii="Segoe UI" w:hAnsi="Segoe UI"/>
          <w:color w:val="2D3748"/>
          <w:sz w:val="19"/>
        </w:rPr>
        <w:t>, asegurando que los lotes con fecha de tueste o elaboración más antigua salgan primero.</w:t>
      </w:r>
    </w:p>
    <w:p>
      <w:pPr>
        <w:pStyle w:val="ListBullet"/>
        <w:spacing w:before="20" w:after="40" w:line="276" w:lineRule="auto"/>
      </w:pPr>
      <w:r>
        <w:rPr>
          <w:rFonts w:ascii="Segoe UI" w:hAnsi="Segoe UI"/>
          <w:color w:val="2D3748"/>
          <w:sz w:val="19"/>
        </w:rPr>
        <w:t>Disparo automático de alertas preventivas vía correo electrónico (SMTP) cuando un lote orgánico tiene menos de 15 días antes de perder sus propiedades óptimas.</w:t>
      </w:r>
    </w:p>
    <w:p>
      <w:pPr>
        <w:spacing w:before="120" w:after="40"/>
      </w:pPr>
      <w:r>
        <w:rPr>
          <w:rFonts w:ascii="Segoe UI" w:hAnsi="Segoe UI"/>
          <w:b/>
          <w:color w:val="2D3748"/>
          <w:sz w:val="20"/>
        </w:rPr>
        <w:t>2.5 Seguridad Web Robusta y Control de Acceso (RBAC)</w:t>
      </w:r>
    </w:p>
    <w:p>
      <w:pPr>
        <w:pStyle w:val="ListBullet"/>
        <w:spacing w:before="20" w:after="40" w:line="276" w:lineRule="auto"/>
      </w:pPr>
      <w:r>
        <w:rPr>
          <w:rFonts w:ascii="Segoe UI" w:hAnsi="Segoe UI"/>
          <w:color w:val="2D3748"/>
          <w:sz w:val="19"/>
        </w:rPr>
        <w:t>Arquitectura de autenticación desacoplada (*stateless*) mediante tokens JWT (Access Token de 15 minutos en memoria y Refresh Token rotativo en cookie segura `httpOnly`).</w:t>
      </w:r>
    </w:p>
    <w:p>
      <w:pPr>
        <w:pStyle w:val="ListBullet"/>
        <w:spacing w:before="20" w:after="40" w:line="276" w:lineRule="auto"/>
      </w:pPr>
      <w:r>
        <w:rPr>
          <w:rFonts w:ascii="Segoe UI" w:hAnsi="Segoe UI"/>
          <w:color w:val="2D3748"/>
          <w:sz w:val="19"/>
        </w:rPr>
        <w:t xml:space="preserve">Verificación obligatoria de </w:t>
      </w:r>
      <w:r>
        <w:rPr>
          <w:rFonts w:ascii="Segoe UI" w:hAnsi="Segoe UI"/>
          <w:b/>
          <w:color w:val="2D3748"/>
          <w:sz w:val="19"/>
        </w:rPr>
        <w:t>Google reCAPTCHA v2/v3</w:t>
      </w:r>
      <w:r>
        <w:rPr>
          <w:rFonts w:ascii="Segoe UI" w:hAnsi="Segoe UI"/>
          <w:color w:val="2D3748"/>
          <w:sz w:val="19"/>
        </w:rPr>
        <w:t xml:space="preserve"> en formularios de acceso para mitigar ataques automatizados de bots.</w:t>
      </w:r>
    </w:p>
    <w:p>
      <w:pPr>
        <w:pStyle w:val="ListBullet"/>
        <w:spacing w:before="20" w:after="40" w:line="276" w:lineRule="auto"/>
      </w:pPr>
      <w:r>
        <w:rPr>
          <w:rFonts w:ascii="Segoe UI" w:hAnsi="Segoe UI"/>
          <w:color w:val="2D3748"/>
          <w:sz w:val="19"/>
        </w:rPr>
        <w:t>Doble Factor de Autenticación (</w:t>
      </w:r>
      <w:r>
        <w:rPr>
          <w:rFonts w:ascii="Segoe UI" w:hAnsi="Segoe UI"/>
          <w:b/>
          <w:color w:val="2D3748"/>
          <w:sz w:val="19"/>
        </w:rPr>
        <w:t>2FA / TOTP</w:t>
      </w:r>
      <w:r>
        <w:rPr>
          <w:rFonts w:ascii="Segoe UI" w:hAnsi="Segoe UI"/>
          <w:color w:val="2D3748"/>
          <w:sz w:val="19"/>
        </w:rPr>
        <w:t>) obligatorio para el rol de Administrador.</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Justificación Práctica en el Proyecto</w:t>
      </w:r>
    </w:p>
    <w:p>
      <w:pPr>
        <w:spacing w:before="40" w:after="60" w:line="276" w:lineRule="auto"/>
      </w:pPr>
      <w:r>
        <w:rPr>
          <w:rFonts w:ascii="Segoe UI" w:hAnsi="Segoe UI"/>
          <w:color w:val="2D3748"/>
          <w:sz w:val="19"/>
        </w:rPr>
        <w:t>Tener bien definidas estas características desde la fase inicial nos evita malentendidos entre lo que espera el dueño de la cafetería y lo que los desarrolladores construyen. Como bien explica Sapag Chain (2011), un proyecto de inversión debe responder a una necesidad real del mercado; en nuestro caso, Monchis Café no solo necesitaba un software para cobrar café, sino una herramienta integral que resolviera el desorden en inventarios, premiara a los clientes ecológicos y mantuviera las cuentas claras sin fugas de dinero en caja.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Project Management Institute. (2017).</w:t>
      </w:r>
      <w:r>
        <w:rPr>
          <w:rFonts w:ascii="Segoe UI" w:hAnsi="Segoe UI"/>
          <w:color w:val="2D3748"/>
          <w:sz w:val="19"/>
        </w:rPr>
        <w:t xml:space="preserve"> *A Guide to the Project Management Body of Knowledge (PMBOK Guide)* (6.ª ed.). Project Management Institute.</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Pressman, R. S., &amp; Maxim, B. R. (2021).</w:t>
      </w:r>
      <w:r>
        <w:rPr>
          <w:rFonts w:ascii="Segoe UI" w:hAnsi="Segoe UI"/>
          <w:color w:val="2D3748"/>
          <w:sz w:val="19"/>
        </w:rPr>
        <w:t xml:space="preserve"> *Ingeniería de software: un enfoque práctico* (9.ª ed.). McGraw-Hill Interamericana.</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Sapag Chain, N. (2011).</w:t>
      </w:r>
      <w:r>
        <w:rPr>
          <w:rFonts w:ascii="Segoe UI" w:hAnsi="Segoe UI"/>
          <w:color w:val="2D3748"/>
          <w:sz w:val="19"/>
        </w:rPr>
        <w:t xml:space="preserve"> *Proyectos de inversión: Formulación y evaluación* (2.ª ed.). Pearson Prentice Hall.</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Sommerville, I. (2011).</w:t>
      </w:r>
      <w:r>
        <w:rPr>
          <w:rFonts w:ascii="Segoe UI" w:hAnsi="Segoe UI"/>
          <w:color w:val="2D3748"/>
          <w:sz w:val="19"/>
        </w:rPr>
        <w:t xml:space="preserve"> *Ingeniería del software* (9.ª ed.). Addison-Wesley / Pearson Educación.</w:t>
      </w:r>
    </w:p>
    <w:p>
      <w:pPr>
        <w:spacing w:before="40" w:after="40" w:line="276" w:lineRule="auto"/>
      </w:pPr>
      <w:r>
        <w:rPr>
          <w:rFonts w:ascii="Segoe UI" w:hAnsi="Segoe UI"/>
          <w:b/>
          <w:color w:val="1A365D"/>
          <w:sz w:val="19"/>
        </w:rPr>
        <w:t xml:space="preserve">5.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