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36"/>
        </w:rPr>
        <w:t>Nivel 1: INTENCIÓN — Foco: CÓMO</w:t>
      </w:r>
    </w:p>
    <w:p>
      <w:pPr>
        <w:spacing w:before="200" w:after="80"/>
      </w:pPr>
      <w:r>
        <w:rPr>
          <w:rFonts w:ascii="Segoe UI" w:hAnsi="Segoe UI"/>
          <w:b/>
          <w:color w:val="8C6B52"/>
          <w:sz w:val="28"/>
        </w:rPr>
        <w:t>Listado de Procesos de Negocio — Monchis Café</w:t>
      </w:r>
    </w:p>
    <w:p>
      <w:pPr>
        <w:spacing w:before="40" w:after="60" w:line="276" w:lineRule="auto"/>
      </w:pPr>
      <w:r>
        <w:rPr>
          <w:rFonts w:ascii="Segoe UI" w:hAnsi="Segoe UI"/>
          <w:color w:val="2D3748"/>
          <w:sz w:val="19"/>
        </w:rPr>
      </w:r>
      <w:r>
        <w:rPr>
          <w:rFonts w:ascii="Segoe UI" w:hAnsi="Segoe UI"/>
          <w:b/>
          <w:color w:val="2D3748"/>
          <w:sz w:val="19"/>
        </w:rPr>
        <w:t>Proyecto:</w:t>
      </w:r>
      <w:r>
        <w:rPr>
          <w:rFonts w:ascii="Segoe UI" w:hAnsi="Segoe UI"/>
          <w:color w:val="2D3748"/>
          <w:sz w:val="19"/>
        </w:rPr>
        <w:t xml:space="preserve"> Monchis Café (Gestión Web Segura para Cafetería Orgánica y Comercial)</w:t>
      </w:r>
    </w:p>
    <w:p>
      <w:pPr>
        <w:spacing w:before="40" w:after="60" w:line="276" w:lineRule="auto"/>
      </w:pPr>
      <w:r>
        <w:rPr>
          <w:rFonts w:ascii="Segoe UI" w:hAnsi="Segoe UI"/>
          <w:color w:val="2D3748"/>
          <w:sz w:val="19"/>
        </w:rPr>
      </w:r>
      <w:r>
        <w:rPr>
          <w:rFonts w:ascii="Segoe UI" w:hAnsi="Segoe UI"/>
          <w:b/>
          <w:color w:val="2D3748"/>
          <w:sz w:val="19"/>
        </w:rPr>
        <w:t>Equipo:</w:t>
      </w:r>
      <w:r>
        <w:rPr>
          <w:rFonts w:ascii="Segoe UI" w:hAnsi="Segoe UI"/>
          <w:color w:val="2D3748"/>
          <w:sz w:val="19"/>
        </w:rPr>
        <w:t xml:space="preserve"> Equipo 2</w:t>
      </w:r>
    </w:p>
    <w:p>
      <w:pPr>
        <w:spacing w:before="40" w:after="60" w:line="276" w:lineRule="auto"/>
      </w:pPr>
      <w:r>
        <w:rPr>
          <w:rFonts w:ascii="Segoe UI" w:hAnsi="Segoe UI"/>
          <w:color w:val="2D3748"/>
          <w:sz w:val="19"/>
        </w:rPr>
      </w:r>
      <w:r>
        <w:rPr>
          <w:rFonts w:ascii="Segoe UI" w:hAnsi="Segoe UI"/>
          <w:b/>
          <w:color w:val="2D3748"/>
          <w:sz w:val="19"/>
        </w:rPr>
        <w:t>Autor:</w:t>
      </w:r>
      <w:r>
        <w:rPr>
          <w:rFonts w:ascii="Segoe UI" w:hAnsi="Segoe UI"/>
          <w:color w:val="2D3748"/>
          <w:sz w:val="19"/>
        </w:rPr>
        <w:t xml:space="preserve"> Ernesto Hatuey Fierro Medina</w:t>
      </w:r>
    </w:p>
    <w:p>
      <w:pPr>
        <w:spacing w:before="40" w:after="60" w:line="276" w:lineRule="auto"/>
      </w:pPr>
      <w:r>
        <w:rPr>
          <w:rFonts w:ascii="Segoe UI" w:hAnsi="Segoe UI"/>
          <w:color w:val="2D3748"/>
          <w:sz w:val="19"/>
        </w:rPr>
      </w:r>
      <w:r>
        <w:rPr>
          <w:rFonts w:ascii="Segoe UI" w:hAnsi="Segoe UI"/>
          <w:b/>
          <w:color w:val="2D3748"/>
          <w:sz w:val="19"/>
        </w:rPr>
        <w:t>Asignatura:</w:t>
      </w:r>
      <w:r>
        <w:rPr>
          <w:rFonts w:ascii="Segoe UI" w:hAnsi="Segoe UI"/>
          <w:color w:val="2D3748"/>
          <w:sz w:val="19"/>
        </w:rPr>
        <w:t xml:space="preserve"> Proyecto Integrador de Desarrollo de Software</w:t>
      </w:r>
    </w:p>
    <w:p>
      <w:pPr>
        <w:spacing w:before="40" w:after="60" w:line="276" w:lineRule="auto"/>
      </w:pPr>
      <w:r>
        <w:rPr>
          <w:rFonts w:ascii="Segoe UI" w:hAnsi="Segoe UI"/>
          <w:color w:val="2D3748"/>
          <w:sz w:val="19"/>
        </w:rPr>
      </w:r>
      <w:r>
        <w:rPr>
          <w:rFonts w:ascii="Segoe UI" w:hAnsi="Segoe UI"/>
          <w:b/>
          <w:color w:val="2D3748"/>
          <w:sz w:val="19"/>
        </w:rPr>
        <w:t>Profesor:</w:t>
      </w:r>
      <w:r>
        <w:rPr>
          <w:rFonts w:ascii="Segoe UI" w:hAnsi="Segoe UI"/>
          <w:color w:val="2D3748"/>
          <w:sz w:val="19"/>
        </w:rPr>
        <w:t xml:space="preserve"> Dr. Gabriel Navarro Salcedo</w:t>
      </w:r>
    </w:p>
    <w:p>
      <w:pPr>
        <w:spacing w:before="40" w:after="60" w:line="276" w:lineRule="auto"/>
      </w:pPr>
      <w:r>
        <w:rPr>
          <w:rFonts w:ascii="Segoe UI" w:hAnsi="Segoe UI"/>
          <w:color w:val="2D3748"/>
          <w:sz w:val="19"/>
        </w:rPr>
      </w:r>
      <w:r>
        <w:rPr>
          <w:rFonts w:ascii="Segoe UI" w:hAnsi="Segoe UI"/>
          <w:b/>
          <w:color w:val="2D3748"/>
          <w:sz w:val="19"/>
        </w:rPr>
        <w:t>Institución:</w:t>
      </w:r>
      <w:r>
        <w:rPr>
          <w:rFonts w:ascii="Segoe UI" w:hAnsi="Segoe UI"/>
          <w:color w:val="2D3748"/>
          <w:sz w:val="19"/>
        </w:rPr>
        <w:t xml:space="preserve"> Centro Universitario de Tonalá — Universidad de Guadalajara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1. Fundamento Teórico y Conceptual</w:t>
      </w:r>
    </w:p>
    <w:p>
      <w:pPr>
        <w:spacing w:before="40" w:after="60" w:line="276" w:lineRule="auto"/>
      </w:pPr>
      <w:r>
        <w:rPr>
          <w:rFonts w:ascii="Segoe UI" w:hAnsi="Segoe UI"/>
          <w:color w:val="2D3748"/>
          <w:sz w:val="19"/>
        </w:rPr>
        <w:t>Un proceso de negocio no es simplemente una lista de pasos en un manual de procedimientos; como lo definen Dumas et al. (2018), representa un conjunto coordinado de actividades y tareas que involucran personas, recursos y sistemas informáticos para entregar un producto o servicio de valor a un cliente. Cuando una empresa opera sin tener claros sus procesos, cada empleado trabaja a su manera, lo que genera cuellos de botella, pérdidas de materia prima y errores en el dinero que entra a caja.</w:t>
      </w:r>
    </w:p>
    <w:p>
      <w:pPr>
        <w:spacing w:before="40" w:after="60" w:line="276" w:lineRule="auto"/>
      </w:pPr>
      <w:r>
        <w:rPr>
          <w:rFonts w:ascii="Segoe UI" w:hAnsi="Segoe UI"/>
          <w:color w:val="2D3748"/>
          <w:sz w:val="19"/>
        </w:rPr>
        <w:t xml:space="preserve">Dentro de la Matriz de Zachman (1987), la celda </w:t>
      </w:r>
      <w:r>
        <w:rPr>
          <w:rFonts w:ascii="Segoe UI" w:hAnsi="Segoe UI"/>
          <w:b/>
          <w:color w:val="2D3748"/>
          <w:sz w:val="19"/>
        </w:rPr>
        <w:t>Intención - Cómo</w:t>
      </w:r>
      <w:r>
        <w:rPr>
          <w:rFonts w:ascii="Segoe UI" w:hAnsi="Segoe UI"/>
          <w:color w:val="2D3748"/>
          <w:sz w:val="19"/>
        </w:rPr>
        <w:t xml:space="preserve"> se enfoca en el *Listado de Procesos de Negocio*. En este primer nivel (la visión del planificador), no nos metemos todavía a diseñar algoritmos, funciones de programación ni diagramas de base de datos detallados. Lo que se busca aquí es identificar las funciones macro que hacen posible la operación diaria de la empresa (Pressman &amp; Maxim, 2021). Para una cafetería como Monchis Café, el "Cómo" inicial consiste en entender el ciclo completo: desde que compramos los costales de café a los productores de la sierra hasta que servimos una taza caliente en mostrador y hacemos el corte del día.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2. Catálogo de Procesos Macro de Negocio</w:t>
      </w:r>
    </w:p>
    <w:p>
      <w:pPr>
        <w:spacing w:before="40" w:after="60" w:line="276" w:lineRule="auto"/>
      </w:pPr>
      <w:r>
        <w:rPr>
          <w:rFonts w:ascii="Segoe UI" w:hAnsi="Segoe UI"/>
          <w:color w:val="2D3748"/>
          <w:sz w:val="19"/>
        </w:rPr>
        <w:t xml:space="preserve">Para garantizar una operación eficiente y trazable, el funcionamiento de </w:t>
      </w:r>
      <w:r>
        <w:rPr>
          <w:rFonts w:ascii="Segoe UI" w:hAnsi="Segoe UI"/>
          <w:b/>
          <w:color w:val="2D3748"/>
          <w:sz w:val="19"/>
        </w:rPr>
        <w:t>Monchis Café</w:t>
      </w:r>
      <w:r>
        <w:rPr>
          <w:rFonts w:ascii="Segoe UI" w:hAnsi="Segoe UI"/>
          <w:color w:val="2D3748"/>
          <w:sz w:val="19"/>
        </w:rPr>
        <w:t xml:space="preserve"> se divide en seis procesos esenciales: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[Proceso 1: Abastecimiento]  --&gt;  [Proceso 2: Venta y Cobro POS]  --&gt;  [Proceso 3: Fidelización ODS 12]</w:t>
              <w:br/>
              <w:t xml:space="preserve">            |                                    |                                    |</w:t>
              <w:br/>
              <w:t xml:space="preserve">            v                                    v                                    v</w:t>
              <w:br/>
              <w:t>[Proceso 4: Control PEPS]   &lt;--  [Proceso 5: Cierre y Caja]      &lt;--  [Proceso 6: Analítica y Seguridad]</w:t>
            </w:r>
          </w:p>
        </w:tc>
      </w:tr>
    </w:tbl>
    <w:p>
      <w:pPr>
        <w:spacing w:after="80"/>
      </w:pPr>
    </w:p>
    <w:p>
      <w:pPr>
        <w:spacing w:before="80" w:after="80"/>
      </w:pPr>
      <w:r>
        <w:rPr>
          <w:color w:val="CBD5E1"/>
          <w:sz w:val="14"/>
        </w:rPr>
        <w:t>____________________________________________________________________</w:t>
      </w:r>
    </w:p>
    <w:p>
      <w:pPr>
        <w:spacing w:before="120" w:after="40"/>
      </w:pPr>
      <w:r>
        <w:rPr>
          <w:rFonts w:ascii="Segoe UI" w:hAnsi="Segoe UI"/>
          <w:b/>
          <w:color w:val="2D3748"/>
          <w:sz w:val="20"/>
        </w:rPr>
        <w:t>PN-01: Abastecimiento y Recepción de Café Orgánico y Perecederos</w:t>
      </w:r>
    </w:p>
    <w:p>
      <w:pPr>
        <w:pStyle w:val="ListBullet"/>
        <w:spacing w:before="20" w:after="40" w:line="276" w:lineRule="auto"/>
      </w:pPr>
      <w:r>
        <w:rPr>
          <w:rFonts w:ascii="Segoe UI" w:hAnsi="Segoe UI"/>
          <w:color w:val="2D3748"/>
          <w:sz w:val="19"/>
        </w:rPr>
      </w:r>
      <w:r>
        <w:rPr>
          <w:rFonts w:ascii="Segoe UI" w:hAnsi="Segoe UI"/>
          <w:b/>
          <w:color w:val="2D3748"/>
          <w:sz w:val="19"/>
        </w:rPr>
        <w:t>Objetivo:</w:t>
      </w:r>
      <w:r>
        <w:rPr>
          <w:rFonts w:ascii="Segoe UI" w:hAnsi="Segoe UI"/>
          <w:color w:val="2D3748"/>
          <w:sz w:val="19"/>
        </w:rPr>
        <w:t xml:space="preserve"> Adquirir granos de café de alta calidad directamente de cooperativas campesinas locales (Michoacán, Oaxaca, Chiapas) y repostería comercial, asegurando frescura y trazabilidad de origen.</w:t>
      </w:r>
    </w:p>
    <w:p>
      <w:pPr>
        <w:pStyle w:val="ListBullet"/>
        <w:spacing w:before="20" w:after="40" w:line="276" w:lineRule="auto"/>
      </w:pPr>
      <w:r>
        <w:rPr>
          <w:rFonts w:ascii="Segoe UI" w:hAnsi="Segoe UI"/>
          <w:color w:val="2D3748"/>
          <w:sz w:val="19"/>
        </w:rPr>
      </w:r>
      <w:r>
        <w:rPr>
          <w:rFonts w:ascii="Segoe UI" w:hAnsi="Segoe UI"/>
          <w:b/>
          <w:color w:val="2D3748"/>
          <w:sz w:val="19"/>
        </w:rPr>
        <w:t>Actividades Principales:</w:t>
      </w:r>
      <w:r>
        <w:rPr>
          <w:rFonts w:ascii="Segoe UI" w:hAnsi="Segoe UI"/>
          <w:color w:val="2D3748"/>
          <w:sz w:val="19"/>
        </w:rPr>
      </w:r>
    </w:p>
    <w:p>
      <w:pPr>
        <w:spacing w:before="40" w:after="40" w:line="276" w:lineRule="auto"/>
      </w:pPr>
      <w:r>
        <w:rPr>
          <w:rFonts w:ascii="Segoe UI" w:hAnsi="Segoe UI"/>
          <w:b/>
          <w:color w:val="1A365D"/>
          <w:sz w:val="19"/>
        </w:rPr>
        <w:t xml:space="preserve">1. </w:t>
      </w:r>
      <w:r>
        <w:rPr>
          <w:rFonts w:ascii="Segoe UI" w:hAnsi="Segoe UI"/>
          <w:color w:val="2D3748"/>
          <w:sz w:val="19"/>
        </w:rPr>
        <w:t>Solicitud de pedido al proveedor con especificación de tipo de grano, altura y fecha de tueste.</w:t>
      </w:r>
    </w:p>
    <w:p>
      <w:pPr>
        <w:spacing w:before="40" w:after="40" w:line="276" w:lineRule="auto"/>
      </w:pPr>
      <w:r>
        <w:rPr>
          <w:rFonts w:ascii="Segoe UI" w:hAnsi="Segoe UI"/>
          <w:b/>
          <w:color w:val="1A365D"/>
          <w:sz w:val="19"/>
        </w:rPr>
        <w:t xml:space="preserve">2. </w:t>
      </w:r>
      <w:r>
        <w:rPr>
          <w:rFonts w:ascii="Segoe UI" w:hAnsi="Segoe UI"/>
          <w:color w:val="2D3748"/>
          <w:sz w:val="19"/>
        </w:rPr>
        <w:t>Recepción física en cafetería con revisión sanitaria de empaques y humedad.</w:t>
      </w:r>
    </w:p>
    <w:p>
      <w:pPr>
        <w:spacing w:before="40" w:after="40" w:line="276" w:lineRule="auto"/>
      </w:pPr>
      <w:r>
        <w:rPr>
          <w:rFonts w:ascii="Segoe UI" w:hAnsi="Segoe UI"/>
          <w:b/>
          <w:color w:val="1A365D"/>
          <w:sz w:val="19"/>
        </w:rPr>
        <w:t xml:space="preserve">3. </w:t>
      </w:r>
      <w:r>
        <w:rPr>
          <w:rFonts w:ascii="Segoe UI" w:hAnsi="Segoe UI"/>
          <w:color w:val="2D3748"/>
          <w:sz w:val="19"/>
        </w:rPr>
        <w:t>Registro en el sistema del lote recibido: número de lote, fecha de entrada, fecha de caducidad sugerida y costo unitario.</w:t>
      </w:r>
    </w:p>
    <w:p>
      <w:pPr>
        <w:spacing w:before="40" w:after="40" w:line="276" w:lineRule="auto"/>
      </w:pPr>
      <w:r>
        <w:rPr>
          <w:rFonts w:ascii="Segoe UI" w:hAnsi="Segoe UI"/>
          <w:b/>
          <w:color w:val="1A365D"/>
          <w:sz w:val="19"/>
        </w:rPr>
        <w:t xml:space="preserve">4. </w:t>
      </w:r>
      <w:r>
        <w:rPr>
          <w:rFonts w:ascii="Segoe UI" w:hAnsi="Segoe UI"/>
          <w:color w:val="2D3748"/>
          <w:sz w:val="19"/>
        </w:rPr>
        <w:t>Almacenamiento en bodega aplicando la regla de etiquetado PEPS.</w:t>
      </w:r>
    </w:p>
    <w:p>
      <w:pPr>
        <w:spacing w:before="120" w:after="40"/>
      </w:pPr>
      <w:r>
        <w:rPr>
          <w:rFonts w:ascii="Segoe UI" w:hAnsi="Segoe UI"/>
          <w:b/>
          <w:color w:val="2D3748"/>
          <w:sz w:val="20"/>
        </w:rPr>
        <w:t>PN-02: Venta en Mostrador y Cobro Multipago (Punto de Venta)</w:t>
      </w:r>
    </w:p>
    <w:p>
      <w:pPr>
        <w:pStyle w:val="ListBullet"/>
        <w:spacing w:before="20" w:after="40" w:line="276" w:lineRule="auto"/>
      </w:pPr>
      <w:r>
        <w:rPr>
          <w:rFonts w:ascii="Segoe UI" w:hAnsi="Segoe UI"/>
          <w:color w:val="2D3748"/>
          <w:sz w:val="19"/>
        </w:rPr>
      </w:r>
      <w:r>
        <w:rPr>
          <w:rFonts w:ascii="Segoe UI" w:hAnsi="Segoe UI"/>
          <w:b/>
          <w:color w:val="2D3748"/>
          <w:sz w:val="19"/>
        </w:rPr>
        <w:t>Objetivo:</w:t>
      </w:r>
      <w:r>
        <w:rPr>
          <w:rFonts w:ascii="Segoe UI" w:hAnsi="Segoe UI"/>
          <w:color w:val="2D3748"/>
          <w:sz w:val="19"/>
        </w:rPr>
        <w:t xml:space="preserve"> Atender con rapidez al cliente en el mostrador, registrar su pedido de bebidas y alimentos, y procesar el cobro bajo diversas formas de pago.</w:t>
      </w:r>
    </w:p>
    <w:p>
      <w:pPr>
        <w:pStyle w:val="ListBullet"/>
        <w:spacing w:before="20" w:after="40" w:line="276" w:lineRule="auto"/>
      </w:pPr>
      <w:r>
        <w:rPr>
          <w:rFonts w:ascii="Segoe UI" w:hAnsi="Segoe UI"/>
          <w:color w:val="2D3748"/>
          <w:sz w:val="19"/>
        </w:rPr>
      </w:r>
      <w:r>
        <w:rPr>
          <w:rFonts w:ascii="Segoe UI" w:hAnsi="Segoe UI"/>
          <w:b/>
          <w:color w:val="2D3748"/>
          <w:sz w:val="19"/>
        </w:rPr>
        <w:t>Actividades Principales:</w:t>
      </w:r>
      <w:r>
        <w:rPr>
          <w:rFonts w:ascii="Segoe UI" w:hAnsi="Segoe UI"/>
          <w:color w:val="2D3748"/>
          <w:sz w:val="19"/>
        </w:rPr>
      </w:r>
    </w:p>
    <w:p>
      <w:pPr>
        <w:spacing w:before="40" w:after="40" w:line="276" w:lineRule="auto"/>
      </w:pPr>
      <w:r>
        <w:rPr>
          <w:rFonts w:ascii="Segoe UI" w:hAnsi="Segoe UI"/>
          <w:b/>
          <w:color w:val="1A365D"/>
          <w:sz w:val="19"/>
        </w:rPr>
        <w:t xml:space="preserve">1. </w:t>
      </w:r>
      <w:r>
        <w:rPr>
          <w:rFonts w:ascii="Segoe UI" w:hAnsi="Segoe UI"/>
          <w:color w:val="2D3748"/>
          <w:sz w:val="19"/>
        </w:rPr>
        <w:t>Toma del pedido mediante la pantalla táctil del POS o lectura de código de barras 1D/2D del producto.</w:t>
      </w:r>
    </w:p>
    <w:p>
      <w:pPr>
        <w:spacing w:before="40" w:after="40" w:line="276" w:lineRule="auto"/>
      </w:pPr>
      <w:r>
        <w:rPr>
          <w:rFonts w:ascii="Segoe UI" w:hAnsi="Segoe UI"/>
          <w:b/>
          <w:color w:val="1A365D"/>
          <w:sz w:val="19"/>
        </w:rPr>
        <w:t xml:space="preserve">2. </w:t>
      </w:r>
      <w:r>
        <w:rPr>
          <w:rFonts w:ascii="Segoe UI" w:hAnsi="Segoe UI"/>
          <w:color w:val="2D3748"/>
          <w:sz w:val="19"/>
        </w:rPr>
        <w:t>Selección del método de pago elegido por el cliente:</w:t>
      </w:r>
    </w:p>
    <w:p>
      <w:pPr>
        <w:pStyle w:val="ListBullet"/>
        <w:spacing w:before="20" w:after="40" w:line="276" w:lineRule="auto"/>
      </w:pPr>
      <w:r>
        <w:rPr>
          <w:rFonts w:ascii="Segoe UI" w:hAnsi="Segoe UI"/>
          <w:color w:val="2D3748"/>
          <w:sz w:val="19"/>
        </w:rPr>
        <w:t>*Efectivo:* Ingreso de monto recibido y entrega inmediata de cambio calculado.</w:t>
      </w:r>
    </w:p>
    <w:p>
      <w:pPr>
        <w:pStyle w:val="ListBullet"/>
        <w:spacing w:before="20" w:after="40" w:line="276" w:lineRule="auto"/>
      </w:pPr>
      <w:r>
        <w:rPr>
          <w:rFonts w:ascii="Segoe UI" w:hAnsi="Segoe UI"/>
          <w:color w:val="2D3748"/>
          <w:sz w:val="19"/>
        </w:rPr>
        <w:t>*Tarjeta:* Cobro en terminal y verificación de autorización bancaria.</w:t>
      </w:r>
    </w:p>
    <w:p>
      <w:pPr>
        <w:pStyle w:val="ListBullet"/>
        <w:spacing w:before="20" w:after="40" w:line="276" w:lineRule="auto"/>
      </w:pPr>
      <w:r>
        <w:rPr>
          <w:rFonts w:ascii="Segoe UI" w:hAnsi="Segoe UI"/>
          <w:color w:val="2D3748"/>
          <w:sz w:val="19"/>
        </w:rPr>
        <w:t>*Transferencia / SPEI:* Captura de la clave de rastreo bancaria para comprobación de abono.</w:t>
      </w:r>
    </w:p>
    <w:p>
      <w:pPr>
        <w:spacing w:before="40" w:after="40" w:line="276" w:lineRule="auto"/>
      </w:pPr>
      <w:r>
        <w:rPr>
          <w:rFonts w:ascii="Segoe UI" w:hAnsi="Segoe UI"/>
          <w:b/>
          <w:color w:val="1A365D"/>
          <w:sz w:val="19"/>
        </w:rPr>
        <w:t xml:space="preserve">3. </w:t>
      </w:r>
      <w:r>
        <w:rPr>
          <w:rFonts w:ascii="Segoe UI" w:hAnsi="Segoe UI"/>
          <w:color w:val="2D3748"/>
          <w:sz w:val="19"/>
        </w:rPr>
        <w:t>Descuento automático de stock de los insumos o productos vendidos.</w:t>
      </w:r>
    </w:p>
    <w:p>
      <w:pPr>
        <w:spacing w:before="40" w:after="40" w:line="276" w:lineRule="auto"/>
      </w:pPr>
      <w:r>
        <w:rPr>
          <w:rFonts w:ascii="Segoe UI" w:hAnsi="Segoe UI"/>
          <w:b/>
          <w:color w:val="1A365D"/>
          <w:sz w:val="19"/>
        </w:rPr>
        <w:t xml:space="preserve">4. </w:t>
      </w:r>
      <w:r>
        <w:rPr>
          <w:rFonts w:ascii="Segoe UI" w:hAnsi="Segoe UI"/>
          <w:color w:val="2D3748"/>
          <w:sz w:val="19"/>
        </w:rPr>
        <w:t>Impresión o envío digital del ticket de venta al cliente.</w:t>
      </w:r>
    </w:p>
    <w:p>
      <w:pPr>
        <w:spacing w:before="120" w:after="40"/>
      </w:pPr>
      <w:r>
        <w:rPr>
          <w:rFonts w:ascii="Segoe UI" w:hAnsi="Segoe UI"/>
          <w:b/>
          <w:color w:val="2D3748"/>
          <w:sz w:val="20"/>
        </w:rPr>
        <w:t>PN-03: Fidelización de Clientes y Bonificación Ecológica (ODS 12)</w:t>
      </w:r>
    </w:p>
    <w:p>
      <w:pPr>
        <w:pStyle w:val="ListBullet"/>
        <w:spacing w:before="20" w:after="40" w:line="276" w:lineRule="auto"/>
      </w:pPr>
      <w:r>
        <w:rPr>
          <w:rFonts w:ascii="Segoe UI" w:hAnsi="Segoe UI"/>
          <w:color w:val="2D3748"/>
          <w:sz w:val="19"/>
        </w:rPr>
      </w:r>
      <w:r>
        <w:rPr>
          <w:rFonts w:ascii="Segoe UI" w:hAnsi="Segoe UI"/>
          <w:b/>
          <w:color w:val="2D3748"/>
          <w:sz w:val="19"/>
        </w:rPr>
        <w:t>Objetivo:</w:t>
      </w:r>
      <w:r>
        <w:rPr>
          <w:rFonts w:ascii="Segoe UI" w:hAnsi="Segoe UI"/>
          <w:color w:val="2D3748"/>
          <w:sz w:val="19"/>
        </w:rPr>
        <w:t xml:space="preserve"> Fomentar el retorno continuo de los clientes y reducir el desperdicio ambiental de vasos desechables (Meta 12.5 de los ODS).</w:t>
      </w:r>
    </w:p>
    <w:p>
      <w:pPr>
        <w:pStyle w:val="ListBullet"/>
        <w:spacing w:before="20" w:after="40" w:line="276" w:lineRule="auto"/>
      </w:pPr>
      <w:r>
        <w:rPr>
          <w:rFonts w:ascii="Segoe UI" w:hAnsi="Segoe UI"/>
          <w:color w:val="2D3748"/>
          <w:sz w:val="19"/>
        </w:rPr>
      </w:r>
      <w:r>
        <w:rPr>
          <w:rFonts w:ascii="Segoe UI" w:hAnsi="Segoe UI"/>
          <w:b/>
          <w:color w:val="2D3748"/>
          <w:sz w:val="19"/>
        </w:rPr>
        <w:t>Actividades Principales:</w:t>
      </w:r>
      <w:r>
        <w:rPr>
          <w:rFonts w:ascii="Segoe UI" w:hAnsi="Segoe UI"/>
          <w:color w:val="2D3748"/>
          <w:sz w:val="19"/>
        </w:rPr>
      </w:r>
    </w:p>
    <w:p>
      <w:pPr>
        <w:spacing w:before="40" w:after="40" w:line="276" w:lineRule="auto"/>
      </w:pPr>
      <w:r>
        <w:rPr>
          <w:rFonts w:ascii="Segoe UI" w:hAnsi="Segoe UI"/>
          <w:b/>
          <w:color w:val="1A365D"/>
          <w:sz w:val="19"/>
        </w:rPr>
        <w:t xml:space="preserve">1. </w:t>
      </w:r>
      <w:r>
        <w:rPr>
          <w:rFonts w:ascii="Segoe UI" w:hAnsi="Segoe UI"/>
          <w:color w:val="2D3748"/>
          <w:sz w:val="19"/>
        </w:rPr>
        <w:t>Identificación del cliente mediante su número telefónico, correo o código QR de "Monchis Rewards".</w:t>
      </w:r>
    </w:p>
    <w:p>
      <w:pPr>
        <w:spacing w:before="40" w:after="40" w:line="276" w:lineRule="auto"/>
      </w:pPr>
      <w:r>
        <w:rPr>
          <w:rFonts w:ascii="Segoe UI" w:hAnsi="Segoe UI"/>
          <w:b/>
          <w:color w:val="1A365D"/>
          <w:sz w:val="19"/>
        </w:rPr>
        <w:t xml:space="preserve">2. </w:t>
      </w:r>
      <w:r>
        <w:rPr>
          <w:rFonts w:ascii="Segoe UI" w:hAnsi="Segoe UI"/>
          <w:color w:val="2D3748"/>
          <w:sz w:val="19"/>
        </w:rPr>
        <w:t xml:space="preserve">Verificación en mostrador: si el cliente presenta su propio termo o taza reutilizable, el cajero activa la casilla de </w:t>
      </w:r>
      <w:r>
        <w:rPr>
          <w:rFonts w:ascii="Segoe UI" w:hAnsi="Segoe UI"/>
          <w:b/>
          <w:color w:val="2D3748"/>
          <w:sz w:val="19"/>
        </w:rPr>
        <w:t>Bono Ecológico</w:t>
      </w:r>
      <w:r>
        <w:rPr>
          <w:rFonts w:ascii="Segoe UI" w:hAnsi="Segoe UI"/>
          <w:color w:val="2D3748"/>
          <w:sz w:val="19"/>
        </w:rPr>
        <w:t>, aplicando \$5.00 MXN de descuento directo o sellos dobles.</w:t>
      </w:r>
    </w:p>
    <w:p>
      <w:pPr>
        <w:spacing w:before="40" w:after="40" w:line="276" w:lineRule="auto"/>
      </w:pPr>
      <w:r>
        <w:rPr>
          <w:rFonts w:ascii="Segoe UI" w:hAnsi="Segoe UI"/>
          <w:b/>
          <w:color w:val="1A365D"/>
          <w:sz w:val="19"/>
        </w:rPr>
        <w:t xml:space="preserve">3. </w:t>
      </w:r>
      <w:r>
        <w:rPr>
          <w:rFonts w:ascii="Segoe UI" w:hAnsi="Segoe UI"/>
          <w:color w:val="2D3748"/>
          <w:sz w:val="19"/>
        </w:rPr>
        <w:t>Asignación automática de sellos digitales (1 por bebida). Al llegar a 7 sellos, el sistema marca el 8vo café como cortesía sin costo.</w:t>
      </w:r>
    </w:p>
    <w:p>
      <w:pPr>
        <w:spacing w:before="120" w:after="40"/>
      </w:pPr>
      <w:r>
        <w:rPr>
          <w:rFonts w:ascii="Segoe UI" w:hAnsi="Segoe UI"/>
          <w:b/>
          <w:color w:val="2D3748"/>
          <w:sz w:val="20"/>
        </w:rPr>
        <w:t>PN-04: Control de Inventario PEPS, Alertas de Caducidad y Mermas</w:t>
      </w:r>
    </w:p>
    <w:p>
      <w:pPr>
        <w:pStyle w:val="ListBullet"/>
        <w:spacing w:before="20" w:after="40" w:line="276" w:lineRule="auto"/>
      </w:pPr>
      <w:r>
        <w:rPr>
          <w:rFonts w:ascii="Segoe UI" w:hAnsi="Segoe UI"/>
          <w:color w:val="2D3748"/>
          <w:sz w:val="19"/>
        </w:rPr>
      </w:r>
      <w:r>
        <w:rPr>
          <w:rFonts w:ascii="Segoe UI" w:hAnsi="Segoe UI"/>
          <w:b/>
          <w:color w:val="2D3748"/>
          <w:sz w:val="19"/>
        </w:rPr>
        <w:t>Objetivo:</w:t>
      </w:r>
      <w:r>
        <w:rPr>
          <w:rFonts w:ascii="Segoe UI" w:hAnsi="Segoe UI"/>
          <w:color w:val="2D3748"/>
          <w:sz w:val="19"/>
        </w:rPr>
        <w:t xml:space="preserve"> Minimizar la pérdida de café y alimentos perecederos garantizando que el producto más antiguo se consuma primero (Meta 12.3 de los ODS).</w:t>
      </w:r>
    </w:p>
    <w:p>
      <w:pPr>
        <w:pStyle w:val="ListBullet"/>
        <w:spacing w:before="20" w:after="40" w:line="276" w:lineRule="auto"/>
      </w:pPr>
      <w:r>
        <w:rPr>
          <w:rFonts w:ascii="Segoe UI" w:hAnsi="Segoe UI"/>
          <w:color w:val="2D3748"/>
          <w:sz w:val="19"/>
        </w:rPr>
      </w:r>
      <w:r>
        <w:rPr>
          <w:rFonts w:ascii="Segoe UI" w:hAnsi="Segoe UI"/>
          <w:b/>
          <w:color w:val="2D3748"/>
          <w:sz w:val="19"/>
        </w:rPr>
        <w:t>Actividades Principales:</w:t>
      </w:r>
      <w:r>
        <w:rPr>
          <w:rFonts w:ascii="Segoe UI" w:hAnsi="Segoe UI"/>
          <w:color w:val="2D3748"/>
          <w:sz w:val="19"/>
        </w:rPr>
      </w:r>
    </w:p>
    <w:p>
      <w:pPr>
        <w:spacing w:before="40" w:after="40" w:line="276" w:lineRule="auto"/>
      </w:pPr>
      <w:r>
        <w:rPr>
          <w:rFonts w:ascii="Segoe UI" w:hAnsi="Segoe UI"/>
          <w:b/>
          <w:color w:val="1A365D"/>
          <w:sz w:val="19"/>
        </w:rPr>
        <w:t xml:space="preserve">1. </w:t>
      </w:r>
      <w:r>
        <w:rPr>
          <w:rFonts w:ascii="Segoe UI" w:hAnsi="Segoe UI"/>
          <w:color w:val="2D3748"/>
          <w:sz w:val="19"/>
        </w:rPr>
        <w:t>Ejecución automática de revisiones diarias de inventario.</w:t>
      </w:r>
    </w:p>
    <w:p>
      <w:pPr>
        <w:spacing w:before="40" w:after="40" w:line="276" w:lineRule="auto"/>
      </w:pPr>
      <w:r>
        <w:rPr>
          <w:rFonts w:ascii="Segoe UI" w:hAnsi="Segoe UI"/>
          <w:b/>
          <w:color w:val="1A365D"/>
          <w:sz w:val="19"/>
        </w:rPr>
        <w:t xml:space="preserve">2. </w:t>
      </w:r>
      <w:r>
        <w:rPr>
          <w:rFonts w:ascii="Segoe UI" w:hAnsi="Segoe UI"/>
          <w:color w:val="2D3748"/>
          <w:sz w:val="19"/>
        </w:rPr>
        <w:t>Emisión de alertas por correo electrónico al administrador cuando un lote de café orgánico tenga menos de 15 días de vida útil óptima.</w:t>
      </w:r>
    </w:p>
    <w:p>
      <w:pPr>
        <w:spacing w:before="40" w:after="40" w:line="276" w:lineRule="auto"/>
      </w:pPr>
      <w:r>
        <w:rPr>
          <w:rFonts w:ascii="Segoe UI" w:hAnsi="Segoe UI"/>
          <w:b/>
          <w:color w:val="1A365D"/>
          <w:sz w:val="19"/>
        </w:rPr>
        <w:t xml:space="preserve">3. </w:t>
      </w:r>
      <w:r>
        <w:rPr>
          <w:rFonts w:ascii="Segoe UI" w:hAnsi="Segoe UI"/>
          <w:color w:val="2D3748"/>
          <w:sz w:val="19"/>
        </w:rPr>
        <w:t>En caso de caducidad inevitable o merma física (derrame, grano en mal estado), el cajero/administrador registra la baja formal indicando la causa para auditoría.</w:t>
      </w:r>
    </w:p>
    <w:p>
      <w:pPr>
        <w:spacing w:before="120" w:after="40"/>
      </w:pPr>
      <w:r>
        <w:rPr>
          <w:rFonts w:ascii="Segoe UI" w:hAnsi="Segoe UI"/>
          <w:b/>
          <w:color w:val="2D3748"/>
          <w:sz w:val="20"/>
        </w:rPr>
        <w:t>PN-05: Cierre de Turno y Arqueo de Caja</w:t>
      </w:r>
    </w:p>
    <w:p>
      <w:pPr>
        <w:pStyle w:val="ListBullet"/>
        <w:spacing w:before="20" w:after="40" w:line="276" w:lineRule="auto"/>
      </w:pPr>
      <w:r>
        <w:rPr>
          <w:rFonts w:ascii="Segoe UI" w:hAnsi="Segoe UI"/>
          <w:color w:val="2D3748"/>
          <w:sz w:val="19"/>
        </w:rPr>
      </w:r>
      <w:r>
        <w:rPr>
          <w:rFonts w:ascii="Segoe UI" w:hAnsi="Segoe UI"/>
          <w:b/>
          <w:color w:val="2D3748"/>
          <w:sz w:val="19"/>
        </w:rPr>
        <w:t>Objetivo:</w:t>
      </w:r>
      <w:r>
        <w:rPr>
          <w:rFonts w:ascii="Segoe UI" w:hAnsi="Segoe UI"/>
          <w:color w:val="2D3748"/>
          <w:sz w:val="19"/>
        </w:rPr>
        <w:t xml:space="preserve"> Conciliar los ingresos reales recibidos en la jornada contra las ventas registradas por el sistema informático.</w:t>
      </w:r>
    </w:p>
    <w:p>
      <w:pPr>
        <w:pStyle w:val="ListBullet"/>
        <w:spacing w:before="20" w:after="40" w:line="276" w:lineRule="auto"/>
      </w:pPr>
      <w:r>
        <w:rPr>
          <w:rFonts w:ascii="Segoe UI" w:hAnsi="Segoe UI"/>
          <w:color w:val="2D3748"/>
          <w:sz w:val="19"/>
        </w:rPr>
      </w:r>
      <w:r>
        <w:rPr>
          <w:rFonts w:ascii="Segoe UI" w:hAnsi="Segoe UI"/>
          <w:b/>
          <w:color w:val="2D3748"/>
          <w:sz w:val="19"/>
        </w:rPr>
        <w:t>Actividades Principales:</w:t>
      </w:r>
      <w:r>
        <w:rPr>
          <w:rFonts w:ascii="Segoe UI" w:hAnsi="Segoe UI"/>
          <w:color w:val="2D3748"/>
          <w:sz w:val="19"/>
        </w:rPr>
      </w:r>
    </w:p>
    <w:p>
      <w:pPr>
        <w:spacing w:before="40" w:after="40" w:line="276" w:lineRule="auto"/>
      </w:pPr>
      <w:r>
        <w:rPr>
          <w:rFonts w:ascii="Segoe UI" w:hAnsi="Segoe UI"/>
          <w:b/>
          <w:color w:val="1A365D"/>
          <w:sz w:val="19"/>
        </w:rPr>
        <w:t xml:space="preserve">1. </w:t>
      </w:r>
      <w:r>
        <w:rPr>
          <w:rFonts w:ascii="Segoe UI" w:hAnsi="Segoe UI"/>
          <w:color w:val="2D3748"/>
          <w:sz w:val="19"/>
        </w:rPr>
        <w:t>Bloqueo de terminal al terminar el turno del cajero.</w:t>
      </w:r>
    </w:p>
    <w:p>
      <w:pPr>
        <w:spacing w:before="40" w:after="40" w:line="276" w:lineRule="auto"/>
      </w:pPr>
      <w:r>
        <w:rPr>
          <w:rFonts w:ascii="Segoe UI" w:hAnsi="Segoe UI"/>
          <w:b/>
          <w:color w:val="1A365D"/>
          <w:sz w:val="19"/>
        </w:rPr>
        <w:t xml:space="preserve">2. </w:t>
      </w:r>
      <w:r>
        <w:rPr>
          <w:rFonts w:ascii="Segoe UI" w:hAnsi="Segoe UI"/>
          <w:color w:val="2D3748"/>
          <w:sz w:val="19"/>
        </w:rPr>
        <w:t>Conteo físico de efectivo y cotejo de vouchers de terminal y comprobantes de transferencias SPEI.</w:t>
      </w:r>
    </w:p>
    <w:p>
      <w:pPr>
        <w:spacing w:before="40" w:after="40" w:line="276" w:lineRule="auto"/>
      </w:pPr>
      <w:r>
        <w:rPr>
          <w:rFonts w:ascii="Segoe UI" w:hAnsi="Segoe UI"/>
          <w:b/>
          <w:color w:val="1A365D"/>
          <w:sz w:val="19"/>
        </w:rPr>
        <w:t xml:space="preserve">3. </w:t>
      </w:r>
      <w:r>
        <w:rPr>
          <w:rFonts w:ascii="Segoe UI" w:hAnsi="Segoe UI"/>
          <w:color w:val="2D3748"/>
          <w:sz w:val="19"/>
        </w:rPr>
        <w:t>Generación del reporte de corte de caja (*Reporte Z*) identificando si hubo sobrantes o faltantes.</w:t>
      </w:r>
    </w:p>
    <w:p>
      <w:pPr>
        <w:spacing w:before="40" w:after="40" w:line="276" w:lineRule="auto"/>
      </w:pPr>
      <w:r>
        <w:rPr>
          <w:rFonts w:ascii="Segoe UI" w:hAnsi="Segoe UI"/>
          <w:b/>
          <w:color w:val="1A365D"/>
          <w:sz w:val="19"/>
        </w:rPr>
        <w:t xml:space="preserve">4. </w:t>
      </w:r>
      <w:r>
        <w:rPr>
          <w:rFonts w:ascii="Segoe UI" w:hAnsi="Segoe UI"/>
          <w:color w:val="2D3748"/>
          <w:sz w:val="19"/>
        </w:rPr>
        <w:t>Validación y firma de conformidad por parte del Administrador.</w:t>
      </w:r>
    </w:p>
    <w:p>
      <w:pPr>
        <w:spacing w:before="120" w:after="40"/>
      </w:pPr>
      <w:r>
        <w:rPr>
          <w:rFonts w:ascii="Segoe UI" w:hAnsi="Segoe UI"/>
          <w:b/>
          <w:color w:val="2D3748"/>
          <w:sz w:val="20"/>
        </w:rPr>
        <w:t>PN-06: Gestión de Seguridad, Roles y Análisis de Tráfico</w:t>
      </w:r>
    </w:p>
    <w:p>
      <w:pPr>
        <w:pStyle w:val="ListBullet"/>
        <w:spacing w:before="20" w:after="40" w:line="276" w:lineRule="auto"/>
      </w:pPr>
      <w:r>
        <w:rPr>
          <w:rFonts w:ascii="Segoe UI" w:hAnsi="Segoe UI"/>
          <w:color w:val="2D3748"/>
          <w:sz w:val="19"/>
        </w:rPr>
      </w:r>
      <w:r>
        <w:rPr>
          <w:rFonts w:ascii="Segoe UI" w:hAnsi="Segoe UI"/>
          <w:b/>
          <w:color w:val="2D3748"/>
          <w:sz w:val="19"/>
        </w:rPr>
        <w:t>Objetivo:</w:t>
      </w:r>
      <w:r>
        <w:rPr>
          <w:rFonts w:ascii="Segoe UI" w:hAnsi="Segoe UI"/>
          <w:color w:val="2D3748"/>
          <w:sz w:val="19"/>
        </w:rPr>
        <w:t xml:space="preserve"> Proteger el acceso al sistema mediante perfiles bien definidos y analizar de dónde vienen los clientes para tomar mejores decisiones comerciales.</w:t>
      </w:r>
    </w:p>
    <w:p>
      <w:pPr>
        <w:pStyle w:val="ListBullet"/>
        <w:spacing w:before="20" w:after="40" w:line="276" w:lineRule="auto"/>
      </w:pPr>
      <w:r>
        <w:rPr>
          <w:rFonts w:ascii="Segoe UI" w:hAnsi="Segoe UI"/>
          <w:color w:val="2D3748"/>
          <w:sz w:val="19"/>
        </w:rPr>
      </w:r>
      <w:r>
        <w:rPr>
          <w:rFonts w:ascii="Segoe UI" w:hAnsi="Segoe UI"/>
          <w:b/>
          <w:color w:val="2D3748"/>
          <w:sz w:val="19"/>
        </w:rPr>
        <w:t>Actividades Principales:</w:t>
      </w:r>
      <w:r>
        <w:rPr>
          <w:rFonts w:ascii="Segoe UI" w:hAnsi="Segoe UI"/>
          <w:color w:val="2D3748"/>
          <w:sz w:val="19"/>
        </w:rPr>
      </w:r>
    </w:p>
    <w:p>
      <w:pPr>
        <w:spacing w:before="40" w:after="40" w:line="276" w:lineRule="auto"/>
      </w:pPr>
      <w:r>
        <w:rPr>
          <w:rFonts w:ascii="Segoe UI" w:hAnsi="Segoe UI"/>
          <w:b/>
          <w:color w:val="1A365D"/>
          <w:sz w:val="19"/>
        </w:rPr>
        <w:t xml:space="preserve">1. </w:t>
      </w:r>
      <w:r>
        <w:rPr>
          <w:rFonts w:ascii="Segoe UI" w:hAnsi="Segoe UI"/>
          <w:color w:val="2D3748"/>
          <w:sz w:val="19"/>
        </w:rPr>
        <w:t>Control de accesos mediante perfiles de usuario (`Administrador`, `Cajero`, `Cliente`).</w:t>
      </w:r>
    </w:p>
    <w:p>
      <w:pPr>
        <w:spacing w:before="40" w:after="40" w:line="276" w:lineRule="auto"/>
      </w:pPr>
      <w:r>
        <w:rPr>
          <w:rFonts w:ascii="Segoe UI" w:hAnsi="Segoe UI"/>
          <w:b/>
          <w:color w:val="1A365D"/>
          <w:sz w:val="19"/>
        </w:rPr>
        <w:t xml:space="preserve">2. </w:t>
      </w:r>
      <w:r>
        <w:rPr>
          <w:rFonts w:ascii="Segoe UI" w:hAnsi="Segoe UI"/>
          <w:color w:val="2D3748"/>
          <w:sz w:val="19"/>
        </w:rPr>
        <w:t>Registro de parámetros de marketing digital (`utm_source`, `utm_medium`) para saber si una venta vino recomendada por Google Maps o por campañas de Instagram.</w:t>
      </w:r>
    </w:p>
    <w:p>
      <w:pPr>
        <w:spacing w:before="40" w:after="40" w:line="276" w:lineRule="auto"/>
      </w:pPr>
      <w:r>
        <w:rPr>
          <w:rFonts w:ascii="Segoe UI" w:hAnsi="Segoe UI"/>
          <w:b/>
          <w:color w:val="1A365D"/>
          <w:sz w:val="19"/>
        </w:rPr>
        <w:t xml:space="preserve">3. </w:t>
      </w:r>
      <w:r>
        <w:rPr>
          <w:rFonts w:ascii="Segoe UI" w:hAnsi="Segoe UI"/>
          <w:color w:val="2D3748"/>
          <w:sz w:val="19"/>
        </w:rPr>
        <w:t>Exportación de métricas semanales en PDF y Excel para la toma de decisiones.</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3. Justificación Práctica en el Proyecto</w:t>
      </w:r>
    </w:p>
    <w:p>
      <w:pPr>
        <w:spacing w:before="40" w:after="60" w:line="276" w:lineRule="auto"/>
      </w:pPr>
      <w:r>
        <w:rPr>
          <w:rFonts w:ascii="Segoe UI" w:hAnsi="Segoe UI"/>
          <w:color w:val="2D3748"/>
          <w:sz w:val="19"/>
        </w:rPr>
        <w:t>Al tener los procesos de negocio claramente definidos, evitamos que el software termine haciendo cosas que no corresponden a la realidad del mostrador. Tal como señala Baca Urbina (2013), un sistema de información en un proyecto de inversión debe servir para simplificar el trabajo operativo y reducir los costos de administración. Con este catálogo de procesos, el equipo de desarrollo tiene la certeza de qué módulos programar y qué datos deben fluir entre la caja, la bodega y la gerencia.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4. Referencias Bibliográficas</w:t>
      </w:r>
    </w:p>
    <w:p>
      <w:pPr>
        <w:spacing w:before="40" w:after="40" w:line="276" w:lineRule="auto"/>
      </w:pPr>
      <w:r>
        <w:rPr>
          <w:rFonts w:ascii="Segoe UI" w:hAnsi="Segoe UI"/>
          <w:b/>
          <w:color w:val="1A365D"/>
          <w:sz w:val="19"/>
        </w:rPr>
        <w:t xml:space="preserve">1. </w:t>
      </w:r>
      <w:r>
        <w:rPr>
          <w:rFonts w:ascii="Segoe UI" w:hAnsi="Segoe UI"/>
          <w:color w:val="2D3748"/>
          <w:sz w:val="19"/>
        </w:rPr>
      </w:r>
      <w:r>
        <w:rPr>
          <w:rFonts w:ascii="Segoe UI" w:hAnsi="Segoe UI"/>
          <w:b/>
          <w:color w:val="2D3748"/>
          <w:sz w:val="19"/>
        </w:rPr>
        <w:t>Baca Urbina, G. (2013).</w:t>
      </w:r>
      <w:r>
        <w:rPr>
          <w:rFonts w:ascii="Segoe UI" w:hAnsi="Segoe UI"/>
          <w:color w:val="2D3748"/>
          <w:sz w:val="19"/>
        </w:rPr>
        <w:t xml:space="preserve"> *Evaluación de proyectos* (7.ª ed.). McGraw-Hill Interamericana.</w:t>
      </w:r>
    </w:p>
    <w:p>
      <w:pPr>
        <w:spacing w:before="40" w:after="40" w:line="276" w:lineRule="auto"/>
      </w:pPr>
      <w:r>
        <w:rPr>
          <w:rFonts w:ascii="Segoe UI" w:hAnsi="Segoe UI"/>
          <w:b/>
          <w:color w:val="1A365D"/>
          <w:sz w:val="19"/>
        </w:rPr>
        <w:t xml:space="preserve">2. </w:t>
      </w:r>
      <w:r>
        <w:rPr>
          <w:rFonts w:ascii="Segoe UI" w:hAnsi="Segoe UI"/>
          <w:color w:val="2D3748"/>
          <w:sz w:val="19"/>
        </w:rPr>
      </w:r>
      <w:r>
        <w:rPr>
          <w:rFonts w:ascii="Segoe UI" w:hAnsi="Segoe UI"/>
          <w:b/>
          <w:color w:val="2D3748"/>
          <w:sz w:val="19"/>
        </w:rPr>
        <w:t>Dumas, M., La Rosa, M., Mendling, J., &amp; Reijers, H. A. (2018).</w:t>
      </w:r>
      <w:r>
        <w:rPr>
          <w:rFonts w:ascii="Segoe UI" w:hAnsi="Segoe UI"/>
          <w:color w:val="2D3748"/>
          <w:sz w:val="19"/>
        </w:rPr>
        <w:t xml:space="preserve"> *Fundamentals of Business Process Management* (2.ª ed.). Springer. https://doi.org/10.1007/978-3-662-56509-4</w:t>
      </w:r>
    </w:p>
    <w:p>
      <w:pPr>
        <w:spacing w:before="40" w:after="40" w:line="276" w:lineRule="auto"/>
      </w:pPr>
      <w:r>
        <w:rPr>
          <w:rFonts w:ascii="Segoe UI" w:hAnsi="Segoe UI"/>
          <w:b/>
          <w:color w:val="1A365D"/>
          <w:sz w:val="19"/>
        </w:rPr>
        <w:t xml:space="preserve">3. </w:t>
      </w:r>
      <w:r>
        <w:rPr>
          <w:rFonts w:ascii="Segoe UI" w:hAnsi="Segoe UI"/>
          <w:color w:val="2D3748"/>
          <w:sz w:val="19"/>
        </w:rPr>
      </w:r>
      <w:r>
        <w:rPr>
          <w:rFonts w:ascii="Segoe UI" w:hAnsi="Segoe UI"/>
          <w:b/>
          <w:color w:val="2D3748"/>
          <w:sz w:val="19"/>
        </w:rPr>
        <w:t>Pressman, R. S., &amp; Maxim, B. R. (2021).</w:t>
      </w:r>
      <w:r>
        <w:rPr>
          <w:rFonts w:ascii="Segoe UI" w:hAnsi="Segoe UI"/>
          <w:color w:val="2D3748"/>
          <w:sz w:val="19"/>
        </w:rPr>
        <w:t xml:space="preserve"> *Ingeniería de software: un enfoque práctico* (9.ª ed.). McGraw-Hill Interamericana.</w:t>
      </w:r>
    </w:p>
    <w:p>
      <w:pPr>
        <w:spacing w:before="40" w:after="40" w:line="276" w:lineRule="auto"/>
      </w:pPr>
      <w:r>
        <w:rPr>
          <w:rFonts w:ascii="Segoe UI" w:hAnsi="Segoe UI"/>
          <w:b/>
          <w:color w:val="1A365D"/>
          <w:sz w:val="19"/>
        </w:rPr>
        <w:t xml:space="preserve">4. </w:t>
      </w:r>
      <w:r>
        <w:rPr>
          <w:rFonts w:ascii="Segoe UI" w:hAnsi="Segoe UI"/>
          <w:color w:val="2D3748"/>
          <w:sz w:val="19"/>
        </w:rPr>
      </w:r>
      <w:r>
        <w:rPr>
          <w:rFonts w:ascii="Segoe UI" w:hAnsi="Segoe UI"/>
          <w:b/>
          <w:color w:val="2D3748"/>
          <w:sz w:val="19"/>
        </w:rPr>
        <w:t>Zachman, J. A. (1987).</w:t>
      </w:r>
      <w:r>
        <w:rPr>
          <w:rFonts w:ascii="Segoe UI" w:hAnsi="Segoe UI"/>
          <w:color w:val="2D3748"/>
          <w:sz w:val="19"/>
        </w:rPr>
        <w:t xml:space="preserve"> A framework for information systems architecture. *IBM Systems Journal*, 26(3), 276–292. https://doi.org/10.1147/sj.263.0276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