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1A365D"/>
          <w:sz w:val="36"/>
        </w:rPr>
        <w:t>Nivel 1: INTENCIÓN — Foco: POR QUÉ</w:t>
      </w:r>
    </w:p>
    <w:p>
      <w:pPr>
        <w:spacing w:before="200" w:after="80"/>
      </w:pPr>
      <w:r>
        <w:rPr>
          <w:rFonts w:ascii="Segoe UI" w:hAnsi="Segoe UI"/>
          <w:b/>
          <w:color w:val="8C6B52"/>
          <w:sz w:val="28"/>
        </w:rPr>
        <w:t>Visión y Objetivos del Proyecto — Monchis Café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Proyecto:</w:t>
      </w:r>
      <w:r>
        <w:rPr>
          <w:rFonts w:ascii="Segoe UI" w:hAnsi="Segoe UI"/>
          <w:color w:val="2D3748"/>
          <w:sz w:val="19"/>
        </w:rPr>
        <w:t xml:space="preserve"> Monchis Café (Gestión Web Segura para Cafetería Orgánica y Comercial)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Equipo:</w:t>
      </w:r>
      <w:r>
        <w:rPr>
          <w:rFonts w:ascii="Segoe UI" w:hAnsi="Segoe UI"/>
          <w:color w:val="2D3748"/>
          <w:sz w:val="19"/>
        </w:rPr>
        <w:t xml:space="preserve"> Equipo 2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Autor:</w:t>
      </w:r>
      <w:r>
        <w:rPr>
          <w:rFonts w:ascii="Segoe UI" w:hAnsi="Segoe UI"/>
          <w:color w:val="2D3748"/>
          <w:sz w:val="19"/>
        </w:rPr>
        <w:t xml:space="preserve"> Ernesto Hatuey Fierro Medina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Asignatura:</w:t>
      </w:r>
      <w:r>
        <w:rPr>
          <w:rFonts w:ascii="Segoe UI" w:hAnsi="Segoe UI"/>
          <w:color w:val="2D3748"/>
          <w:sz w:val="19"/>
        </w:rPr>
        <w:t xml:space="preserve"> Proyecto Integrador de Desarrollo de Software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Profesor:</w:t>
      </w:r>
      <w:r>
        <w:rPr>
          <w:rFonts w:ascii="Segoe UI" w:hAnsi="Segoe UI"/>
          <w:color w:val="2D3748"/>
          <w:sz w:val="19"/>
        </w:rPr>
        <w:t xml:space="preserve"> Dr. Gabriel Navarro Salcedo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Institución:</w:t>
      </w:r>
      <w:r>
        <w:rPr>
          <w:rFonts w:ascii="Segoe UI" w:hAnsi="Segoe UI"/>
          <w:color w:val="2D3748"/>
          <w:sz w:val="19"/>
        </w:rPr>
        <w:t xml:space="preserve"> Centro Universitario de Tonalá — Universidad de Guadalajara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1. Fundamento Teórico y Conceptual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Todo proyecto de inversión y de ingeniería surge como respuesta a una necesidad insatisfecha, un problema operativo o una oportunidad estratégica en el mercado (Baca Urbina, 2013). Como señala el Project Management Institute (2017), el *Business Case* (o justificación del proyecto) es el documento que responde a la pregunta de por qué se deben destinar recursos económicos, tiempo y talento a una iniciativa; sin una visión clara, el proyecto carece de rumbo y es imposible evaluar si tuvo éxito o si fue un gasto innecesario.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En la Matriz de Zachman (1987), la celda </w:t>
      </w:r>
      <w:r>
        <w:rPr>
          <w:rFonts w:ascii="Segoe UI" w:hAnsi="Segoe UI"/>
          <w:b/>
          <w:color w:val="2D3748"/>
          <w:sz w:val="19"/>
        </w:rPr>
        <w:t>Intención - Por qué</w:t>
      </w:r>
      <w:r>
        <w:rPr>
          <w:rFonts w:ascii="Segoe UI" w:hAnsi="Segoe UI"/>
          <w:color w:val="2D3748"/>
          <w:sz w:val="19"/>
        </w:rPr>
        <w:t xml:space="preserve"> representa la columna vertebral de la motivación empresarial. En este nivel del planificador, definimos la misión, la visión a largo plazo y los objetivos estratégicos que justifican la existencia del software (Kaplan &amp; Norton, 1996). Para que los objetivos no se queden en buenas intenciones o discursos vacíos, la teoría administrativa exige estructurarlos bajo el modelo </w:t>
      </w:r>
      <w:r>
        <w:rPr>
          <w:rFonts w:ascii="Segoe UI" w:hAnsi="Segoe UI"/>
          <w:b/>
          <w:color w:val="2D3748"/>
          <w:sz w:val="19"/>
        </w:rPr>
        <w:t>SMART</w:t>
      </w:r>
      <w:r>
        <w:rPr>
          <w:rFonts w:ascii="Segoe UI" w:hAnsi="Segoe UI"/>
          <w:color w:val="2D3748"/>
          <w:sz w:val="19"/>
        </w:rPr>
        <w:t xml:space="preserve"> (Específicos, Medibles, Alcanzables, Relevantes y con Límite de Tiempo) (Doran, 1981). En Monchis Café, el "Por qué" no es solo vender café, sino transformar una cafetería familiar en un negocio digitalizado, rentable, transparente y comprometido con la sustentabilidad ambiental.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2. Misión y Visión de Monchis Café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+---------------------------------------------------------------------------------------+</w:t>
              <w:br/>
              <w:t>|                                  MISIÓN Y VISIÓN                                      |</w:t>
              <w:br/>
              <w:t>+---------------------------------------------------------------------------------------+</w:t>
              <w:br/>
              <w:t>| MISIÓN:                                                                               |</w:t>
              <w:br/>
              <w:t>| Ofrecer una experiencia de café de especialidad orgánico y alimentos de alta calidad, |</w:t>
              <w:br/>
              <w:t>| conectando de forma directa a cooperativas campesinas locales con consumidores        |</w:t>
              <w:br/>
              <w:t>| urbanos, mediante un servicio ágil, transparente y con incentivos activos para la     |</w:t>
              <w:br/>
              <w:t>| reducción de desechos plásticos y el cuidado del medio ambiente.                      |</w:t>
              <w:br/>
              <w:t>+---------------------------------------------------------------------------------------+</w:t>
              <w:br/>
              <w:t>| VISIÓN:                                                                               |</w:t>
              <w:br/>
              <w:t>| Ser la cafetería de especialidad de referencia en la región por su modelo de comercio |</w:t>
              <w:br/>
              <w:t>| justo, calidad en taza y vanguardia tecnológica, demostrando que una pequeña empresa  |</w:t>
              <w:br/>
              <w:t>| familiar puede operar con estándares modernos de seguridad web, control de inventario |</w:t>
              <w:br/>
              <w:t>| y compromiso ecológico comprobable.                                                   |</w:t>
              <w:br/>
              <w:t>+---------------------------------------------------------------------------------------+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3. Objetivos del Proyecto (Metodología SMART)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0"/>
        </w:rPr>
        <w:t>3.1 Objetivo General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Desarrollar e implementar la plataforma web integral y el sistema de Punto de Venta (POS) seguro para </w:t>
      </w:r>
      <w:r>
        <w:rPr>
          <w:rFonts w:ascii="Segoe UI" w:hAnsi="Segoe UI"/>
          <w:b/>
          <w:color w:val="2D3748"/>
          <w:sz w:val="19"/>
        </w:rPr>
        <w:t>Monchis Café</w:t>
      </w:r>
      <w:r>
        <w:rPr>
          <w:rFonts w:ascii="Segoe UI" w:hAnsi="Segoe UI"/>
          <w:color w:val="2D3748"/>
          <w:sz w:val="19"/>
        </w:rPr>
        <w:t xml:space="preserve"> en un periodo de cuatro meses, automatizando el control de cobros multipago, la trazabilidad de lotes orgánicos y la fidelización con incentivos ecológicos, logrando una reducción del 95% en discrepancias de caja y un incremento del 20% en clientes recurrentes.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0"/>
        </w:rPr>
        <w:t>3.2 Objetivos Específicos (Criterios SMART)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Digitalización y Precisión en Caja (SMART):</w:t>
      </w:r>
      <w:r>
        <w:rPr>
          <w:rFonts w:ascii="Segoe UI" w:hAnsi="Segoe UI"/>
          <w:color w:val="2D3748"/>
          <w:sz w:val="19"/>
        </w:rPr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*Específico:* Automatizar el cobro en mostrador mediante una terminal táctil con soporte para efectivo, tarjetas bancarias y transferencias SPEI.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*Medible:* Reducir el tiempo de atención por cliente a menos de 45 segundos y disminuir los errores de arqueo al cierre de turno a un margen inferior al 0.5% del total diario.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*Alcanzable:* Utilizando un catálogo visual rápido con atajos de teclado (`F2`) y lectura de códigos de barras.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*Relevante:* Evita fugas de dinero y filas innecesarias en horas pico.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*Tiempo:* Operativo al finalizar el segundo mes de desarrollo.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Control de Inventarios y Cero Mermas (SMART):</w:t>
      </w:r>
      <w:r>
        <w:rPr>
          <w:rFonts w:ascii="Segoe UI" w:hAnsi="Segoe UI"/>
          <w:color w:val="2D3748"/>
          <w:sz w:val="19"/>
        </w:rPr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 xml:space="preserve">*Específico:* Implementar la política de rotación </w:t>
      </w:r>
      <w:r>
        <w:rPr>
          <w:rFonts w:ascii="Segoe UI" w:hAnsi="Segoe UI"/>
          <w:b/>
          <w:color w:val="2D3748"/>
          <w:sz w:val="19"/>
        </w:rPr>
        <w:t>PEPS</w:t>
      </w:r>
      <w:r>
        <w:rPr>
          <w:rFonts w:ascii="Segoe UI" w:hAnsi="Segoe UI"/>
          <w:color w:val="2D3748"/>
          <w:sz w:val="19"/>
        </w:rPr>
        <w:t xml:space="preserve"> para granos de café y perecederos con alertas preventivas por correo electrónico (SMTP).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*Medible:* Disminuir el desperdicio de café tostado por caducidad en un 90% durante los primeros seis meses de operación.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*Alcanzable:* El sistema emite alertas automáticas cuando un lote tiene menos de 15 días de vida útil óptima.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*Relevante:* Protege el margen de ganancia y asegura frescura total al cliente.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*Tiempo:* Desplegado en el tercer mes del proyecto.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Fidelización y Consumo Sostenible (SMART):</w:t>
      </w:r>
      <w:r>
        <w:rPr>
          <w:rFonts w:ascii="Segoe UI" w:hAnsi="Segoe UI"/>
          <w:color w:val="2D3748"/>
          <w:sz w:val="19"/>
        </w:rPr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*Específico:* Operar el programa "Monchis Rewards" con la tarjeta digital de 8 sellos y la Bonificación Ecológica por recipiente reusable.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*Medible:* Lograr que al menos el 35% de las ventas diarias de café preparado se sirvan en termos o tazas traídas por el cliente, evitando más de 500 vasos desechables al mes.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*Alcanzable:* Bonificación automática de \$5.00 MXN en caja o sellos dobles.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*Relevante:* Diferencia a la cafetería de la competencia mediante un valor ecológico tangible.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*Tiempo:* Integrado desde el lanzamiento del MVP.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Seguridad de la Información y Blindaje Web (SMART):</w:t>
      </w:r>
      <w:r>
        <w:rPr>
          <w:rFonts w:ascii="Segoe UI" w:hAnsi="Segoe UI"/>
          <w:color w:val="2D3748"/>
          <w:sz w:val="19"/>
        </w:rPr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*Específico:* Proteger la plataforma contra intrusiones, fraude en pedidos y ataques automatizados de bots.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*Medible:* Cero vulnerabilidades críticas abiertas en producción, 100% de formularios con Google reCAPTCHA y 2FA activo en cuentas administradoras.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*Alcanzable:* Mediante arquitectura stateless con JWT, cookies seguras `httpOnly` y middleware de validación Zod.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*Relevante:* Garantiza la confidencialidad de datos de clientes y la integridad del dinero en caja.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*Tiempo:* Verificado y auditado en la etapa de pre-despliegue.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4. Alineación con los Objetivos de Desarrollo Sostenible (ODS)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El proyecto no fue concebido únicamente como un ejercicio de código; está alineado de manera explícita con las metas de la </w:t>
      </w:r>
      <w:r>
        <w:rPr>
          <w:rFonts w:ascii="Segoe UI" w:hAnsi="Segoe UI"/>
          <w:b/>
          <w:color w:val="2D3748"/>
          <w:sz w:val="19"/>
        </w:rPr>
        <w:t>Agenda 2030 de la Organización de las Naciones Unidas (ONU, 2015)</w:t>
      </w:r>
      <w:r>
        <w:rPr>
          <w:rFonts w:ascii="Segoe UI" w:hAnsi="Segoe UI"/>
          <w:color w:val="2D3748"/>
          <w:sz w:val="19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ODS 12: Producción y Consumo Responsables (Eje Central del Proyecto):</w:t>
      </w:r>
      <w:r>
        <w:rPr>
          <w:rFonts w:ascii="Segoe UI" w:hAnsi="Segoe UI"/>
          <w:color w:val="2D3748"/>
          <w:sz w:val="19"/>
        </w:rPr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*Meta 12.2 (Uso eficiente de recursos):* Apoyo directo a cooperativas campesinas que cultivan café bajo sombra sin agroquímicos agresivos.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*Meta 12.3 (Reducción de mermas y desperdicios):* Control riguroso de caducidades mediante rotación PEPS.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*Meta 12.5 (Disminución sustancial de generación de desechos):* Incentivo económico y de fidelización por uso de termos y tazas personales en mostrador.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ODS 8: Trabajo Decente y Crecimiento Económico:</w:t>
      </w:r>
      <w:r>
        <w:rPr>
          <w:rFonts w:ascii="Segoe UI" w:hAnsi="Segoe UI"/>
          <w:color w:val="2D3748"/>
          <w:sz w:val="19"/>
        </w:rPr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Facilitación del trabajo del cajero y barista con interfaces intuitivas, reduciendo el estrés en mostrador y garantizando cuentas claras en las jornadas laborales.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ODS 9: Industria, Innovación e Infraestructura:</w:t>
      </w:r>
      <w:r>
        <w:rPr>
          <w:rFonts w:ascii="Segoe UI" w:hAnsi="Segoe UI"/>
          <w:color w:val="2D3748"/>
          <w:sz w:val="19"/>
        </w:rPr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2D3748"/>
          <w:sz w:val="19"/>
        </w:rPr>
        <w:t>Modernización tecnológica de una pequeña empresa tradicional mediante arquitectura desacoplada en la nube (Cloud Run) y eventos asíncronos.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5. Justificación Práctica en el Proyecto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Tener definidos la visión y los objetivos desde la celda de Intención es lo que le da sentido a cada línea de código que escribimos. Como advierte Sapag Chain (2011), cuando un proyecto no tiene claro su propósito económico y social, termina dispersando esfuerzos en detalles irrelevantes. Saber que nuestra meta es reducir mermas, proteger el dinero de la caja y premiar a los clientes ecológicos nos marca la pauta de cuáles historias de usuario deben priorizarse y cómo debe medirse el impacto real de la plataforma una vez en producción.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6. Referencias Bibliográficas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Baca Urbina, G. (2013).</w:t>
      </w:r>
      <w:r>
        <w:rPr>
          <w:rFonts w:ascii="Segoe UI" w:hAnsi="Segoe UI"/>
          <w:color w:val="2D3748"/>
          <w:sz w:val="19"/>
        </w:rPr>
        <w:t xml:space="preserve"> *Evaluación de proyectos* (7.ª ed.). McGraw-Hill Interamericana.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Doran, G. T. (1981).</w:t>
      </w:r>
      <w:r>
        <w:rPr>
          <w:rFonts w:ascii="Segoe UI" w:hAnsi="Segoe UI"/>
          <w:color w:val="2D3748"/>
          <w:sz w:val="19"/>
        </w:rPr>
        <w:t xml:space="preserve"> There's a S.M.A.R.T. way to write management's goals and objectives. *Management Review*, 70(11), 35–36.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Kaplan, R. S., &amp; Norton, D. P. (1996).</w:t>
      </w:r>
      <w:r>
        <w:rPr>
          <w:rFonts w:ascii="Segoe UI" w:hAnsi="Segoe UI"/>
          <w:color w:val="2D3748"/>
          <w:sz w:val="19"/>
        </w:rPr>
        <w:t xml:space="preserve"> *The Balanced Scorecard: Translating Strategy into Action*. Harvard Business School Press.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Organización de las Naciones Unidas. (2015).</w:t>
      </w:r>
      <w:r>
        <w:rPr>
          <w:rFonts w:ascii="Segoe UI" w:hAnsi="Segoe UI"/>
          <w:color w:val="2D3748"/>
          <w:sz w:val="19"/>
        </w:rPr>
        <w:t xml:space="preserve"> *Transformar nuestro mundo: la Agenda 2030 para el Desarrollo Sostenible*. ONU. https://sdgs.un.org/es/goals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5.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Project Management Institute. (2017).</w:t>
      </w:r>
      <w:r>
        <w:rPr>
          <w:rFonts w:ascii="Segoe UI" w:hAnsi="Segoe UI"/>
          <w:color w:val="2D3748"/>
          <w:sz w:val="19"/>
        </w:rPr>
        <w:t xml:space="preserve"> *A Guide to the Project Management Body of Knowledge (PMBOK Guide)* (6.ª ed.). Project Management Institute.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6.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Sapag Chain, N. (2011).</w:t>
      </w:r>
      <w:r>
        <w:rPr>
          <w:rFonts w:ascii="Segoe UI" w:hAnsi="Segoe UI"/>
          <w:color w:val="2D3748"/>
          <w:sz w:val="19"/>
        </w:rPr>
        <w:t xml:space="preserve"> *Proyectos de inversión: Formulación y evaluación* (2.ª ed.). Pearson Prentice Hall.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7.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Zachman, J. A. (1987).</w:t>
      </w:r>
      <w:r>
        <w:rPr>
          <w:rFonts w:ascii="Segoe UI" w:hAnsi="Segoe UI"/>
          <w:color w:val="2D3748"/>
          <w:sz w:val="19"/>
        </w:rPr>
        <w:t xml:space="preserve"> A framework for information systems architecture. *IBM Systems Journal*, 26(3), 276–292. https://doi.org/10.1147/sj.263.0276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