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2: ALCANCE — Foco: QUÉ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Listado de Requerimientos del Sistema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En la ingeniería de requerimientos, un requerimiento representa una condición, capacidad o restricción que el sistema informático debe cumplir para resolver un problema operativo o satisfacer un objetivo del negocio (ISO/IEC/IEEE 29148, 2018). Como explican Sommerville (2011) y Pressman y Maxim (2021), no se puede empezar a escribir código o armar bases de datos si antes no se tienen redactados los requerimientos de manera comprensible para el cliente y suficientemente rigurosa para los programadores. Si un requerimiento está incompleto o redactado con ambigüedades, el costo de corregir ese error en etapas avanzadas de producción llega a multiplicarse hasta por cien (Boehm, 1981).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Alcance - Qué</w:t>
      </w:r>
      <w:r>
        <w:rPr>
          <w:rFonts w:ascii="Segoe UI" w:hAnsi="Segoe UI"/>
          <w:color w:val="2D3748"/>
          <w:sz w:val="19"/>
        </w:rPr>
        <w:t xml:space="preserve"> corresponde al modelo de negocio (*Business Model / Owner's View*). En este nivel, el dueño del negocio y los analistas traducen las características generales de la cafetería en un catálogo estructurado de </w:t>
      </w:r>
      <w:r>
        <w:rPr>
          <w:rFonts w:ascii="Segoe UI" w:hAnsi="Segoe UI"/>
          <w:b/>
          <w:color w:val="2D3748"/>
          <w:sz w:val="19"/>
        </w:rPr>
        <w:t>Requerimientos Funcionales (RF)</w:t>
      </w:r>
      <w:r>
        <w:rPr>
          <w:rFonts w:ascii="Segoe UI" w:hAnsi="Segoe UI"/>
          <w:color w:val="2D3748"/>
          <w:sz w:val="19"/>
        </w:rPr>
        <w:t>. Cada requerimiento debe tener un identificador unívoco, un verbo en infinitivo que exprese la acción, el actor que lo utiliza y el criterio de éxito que permite verificar si realmente se cumplió (Wiegers &amp; Beatty, 2013).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Catálogo de Requerimientos Funcionales (RF)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A continuación se listan los 15 Requerimientos Funcionales principales que rigen la operación de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>, clasificados por módulo operativo: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+---------------------------------------------------------------------------------------+</w:t>
              <w:br/>
              <w:t>|                       REQUERIMIENTOS FUNCIONALES (RF-01 A RF-15)                      |</w:t>
              <w:br/>
              <w:t>+---------------------------------------------------------------------------------------+</w:t>
              <w:br/>
              <w:t>| Módulo A: Catálogo y Trazabilidad    | RF-01 (Catálogo)      | RF-02 (Lotes Orgánicos)|</w:t>
              <w:br/>
              <w:t>| Módulo B: Punto de Venta (POS)       | RF-03 (Venta Mostrador)| RF-04 (Multipago)      |</w:t>
              <w:br/>
              <w:t>| Módulo C: Sostenibilidad y Lealtad   | RF-05 (Bono Ecológico) | RF-06 (Monchis Rewards)|</w:t>
              <w:br/>
              <w:t>| Módulo D: Inventarios y Alertas      | RF-07 (Rotación PEPS)  | RF-08 (Alertas SMTP)   |</w:t>
              <w:br/>
              <w:t>| Módulo E: Operación y Arqueo de Caja | RF-09 (Corte Diario Z) | RF-15 (Atajos y Escáner)|</w:t>
              <w:br/>
              <w:t>| Módulo F: Seguridad e Identidad      | RF-10 (JWT / reCAPTCHA)| RF-11 (2FA Administrador)|</w:t>
              <w:br/>
              <w:t>| Módulo G: Analítica y Resiliencia    | RF-12 (Atribución UTM) | RF-13 (Reportes Excel) |</w:t>
              <w:br/>
              <w:t>|                                      | RF-14 (Reversas Saga)  |                        |</w:t>
              <w:br/>
              <w:t>+---------------------------------------------------------------------------------------+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Identificador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Nombre del Requerimiento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Descripción Detallada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Criterio de Verificación / Salida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Gestión de Catálogo Segmentado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permitir dar de alta, modificar y desactivar productos clasificándolos en Línea Orgánica (café de especialidad) o Línea Comercial (repostería/bebidas frías).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Producto visible en el POS con foto, precio unitario oficial y badge correspondiente.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Trazabilidad de Lotes de Café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registrar cada lote de café recibido asociando cooperativa campesina, finca de origen, altitud (msnm), fecha de tueste y caducidad sugerida.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Ficha de lote almacenada en base de datos con código único de trazabilidad.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Registro de Venta en Mostrador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proporcionar una interfaz táctil rápida para seleccionar productos, especificar cantidades y calcular subtotal, IVA y total de forma automática.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Carrito de venta actualizado con tiempo de respuesta inferior a 100 ms.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Cobro Multipago en Caja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/ Cliente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admitir cobros en Efectivo (calculando el cambio exacto), Tarjeta bancaria (con captura de voucher) y Transferencia SPEI (con clave de rastreo).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Transacción registrada en estado `PAGADA` y emisión de ticket digital/impreso.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Aplicación de Bonificación Ecológica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/ Cliente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Al activar la casilla de "Bono Ecológico", el sistema debe aplicar un descuento directo de \$5.00 MXN o sellos dobles si el cliente presenta su propio termo o taza.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Descuento reflejado en el ticket y cálculo de métrica de ahorro de vasos (ODS 12).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Gestión de Monchis Rewards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Cliente / Cajero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acumular 1 sello digital por cada café preparado; al llegar a 7 sellos, debe marcar automáticamente el 8vo café como cortesía ($0.00).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Contador de sellos actualizado en la cuenta del cliente y alerta de café gratis.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Control de Inventario PEPS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Cajero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Cada venta de café en grano o bebidas preparadas debe descontar automáticamente las existencias del lote con fecha de entrada más antigua en bodega.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Stock decrementado en base de datos sin permitir existencias negativas.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Motor de Alertas Sanitarias SMTP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evaluar diariamente las fechas de caducidad y emitir correos de alerta preventiva al administrador si un lote tiene menos de 15 días de vida óptima.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Correo electrónico recibido en la bandeja del administrador con detalle del lote.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Corte de Turno y Arqueo de Caja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/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Al terminar el turno, el sistema debe solicitar al cajero el conteo de efectivo físico y compararlo con el total registrado, generando el reporte Z de corte.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Reporte Z generado con desglose de ventas por método de pago y cálculo de sobrante/faltante.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Autenticación Stateless y reCAPTCHA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Todos los Roles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acceso al sistema debe verificarse mediante tokens JWT en memoria, cookies seguras `httpOnly` y validación obligatoria de Google reCAPTCHA v2/v3 en login.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Acceso permitido solo con credenciales válidas y bloqueo inmediato a bots o tokens dummy.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Doble Factor de Autenticación (2FA)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exigir un código TOTP de 6 dígitos (Google Authenticator) para confirmar el inicio de sesión de cuentas con perfil de Administrador.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Sesión autorizada únicamente tras validar el código temporal de 30 segundos.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Atribución de Tráfico y Campañas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capturar parámetros `utm_source` y `utm_campaign` en registros y compras web para medir si los clientes provienen de Google Maps o Instagram.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Métricas de conversión visibles en el panel administrativo clasificadas por canal.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Exportación de Reportes Financieros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permitir descargar los resúmenes de ventas, corte de caja y mermas en formatos CSV (compatible con Excel) y PDF maquetado para impresión.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Archivo `.xlsx` o `.pdf` descargado con datos consolidados de la cafetería.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Transacciones Compensatorias (Saga)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 se cobra una orden pero el grano del lote orgánico se agota durante la preparación, el sistema debe orquestar automáticamente la reversa y reembolso.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Orden marcada como `CANCELADA_REEMBOLSADA` y notificación automática a gerencia.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RF-15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Atajos de Mostrador y Lector Óptico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sistema debe escuchar eventos globales de teclado: `F2` para cobrar directo, `Esc` para vaciar la orden y lectura automática de códigos de barras (7501001-7501005).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Producto agregado al carrito al instante al pasar el lector de código de barras.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Contar con este catálogo detallado de requerimientos funcionales nos evita lo que en el ambiente de desarrollo llamamos "construir a ciegas". Como bien advierten Pressman y Maxim (2021), cuando un programador no tiene una especificación concreta con entradas, procesos y salidas medibles, termina inventando el flujo de la aplicación según su criterio personal, lo que después choca de frente con la realidad del cajero o con las normas fiscales del negocio. Con esta lista aprobada por el dueño, el equipo de desarrollo puede asociar cada funcionalidad con pruebas unitarias automáticas (TDD) y verificar que el software haga exactamente lo que Monchis Café necesita para operar.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Boehm, B. W. (1981).</w:t>
      </w:r>
      <w:r>
        <w:rPr>
          <w:rFonts w:ascii="Segoe UI" w:hAnsi="Segoe UI"/>
          <w:color w:val="2D3748"/>
          <w:sz w:val="19"/>
        </w:rPr>
        <w:t xml:space="preserve"> *Software Engineering Economics*. Prentice-Hall.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ISO/IEC/IEEE. (2018).</w:t>
      </w:r>
      <w:r>
        <w:rPr>
          <w:rFonts w:ascii="Segoe UI" w:hAnsi="Segoe UI"/>
          <w:color w:val="2D3748"/>
          <w:sz w:val="19"/>
        </w:rPr>
        <w:t xml:space="preserve"> *ISO/IEC/IEEE 29148:2018 Systems and software engineering — Life cycle processes — Requirements engineering*. IEEE.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Sommerville, I. (2011).</w:t>
      </w:r>
      <w:r>
        <w:rPr>
          <w:rFonts w:ascii="Segoe UI" w:hAnsi="Segoe UI"/>
          <w:color w:val="2D3748"/>
          <w:sz w:val="19"/>
        </w:rPr>
        <w:t xml:space="preserve"> *Ingeniería del software* (9.ª ed.). Addison-Wesley / Pearson Educación.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5.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Wiegers, K. E., &amp; Beatty, J. (2013).</w:t>
      </w:r>
      <w:r>
        <w:rPr>
          <w:rFonts w:ascii="Segoe UI" w:hAnsi="Segoe UI"/>
          <w:color w:val="2D3748"/>
          <w:sz w:val="19"/>
        </w:rPr>
        <w:t xml:space="preserve"> *Software Requirements* (3.ª ed.). Microsoft Press.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6.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