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1A365D"/>
          <w:sz w:val="36"/>
        </w:rPr>
        <w:t>Nivel 3: ALTO NIVEL — Foco: CÓMO</w:t>
      </w:r>
    </w:p>
    <w:p>
      <w:pPr>
        <w:spacing w:before="200" w:after="80"/>
      </w:pPr>
      <w:r>
        <w:rPr>
          <w:rFonts w:ascii="Segoe UI" w:hAnsi="Segoe UI"/>
          <w:b/>
          <w:color w:val="8C6B52"/>
          <w:sz w:val="28"/>
        </w:rPr>
        <w:t>Especificación de Casos de Uso Principales — Monchis Café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Proyecto:</w:t>
      </w:r>
      <w:r>
        <w:rPr>
          <w:rFonts w:ascii="Segoe UI" w:hAnsi="Segoe UI"/>
          <w:color w:val="2D3748"/>
          <w:sz w:val="19"/>
        </w:rPr>
        <w:t xml:space="preserve"> Monchis Café (Gestión Web Segura para Cafetería Orgánica y Comercial)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Equipo:</w:t>
      </w:r>
      <w:r>
        <w:rPr>
          <w:rFonts w:ascii="Segoe UI" w:hAnsi="Segoe UI"/>
          <w:color w:val="2D3748"/>
          <w:sz w:val="19"/>
        </w:rPr>
        <w:t xml:space="preserve"> Equipo 2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Autor:</w:t>
      </w:r>
      <w:r>
        <w:rPr>
          <w:rFonts w:ascii="Segoe UI" w:hAnsi="Segoe UI"/>
          <w:color w:val="2D3748"/>
          <w:sz w:val="19"/>
        </w:rPr>
        <w:t xml:space="preserve"> Ernesto Hatuey Fierro Medina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Asignatura:</w:t>
      </w:r>
      <w:r>
        <w:rPr>
          <w:rFonts w:ascii="Segoe UI" w:hAnsi="Segoe UI"/>
          <w:color w:val="2D3748"/>
          <w:sz w:val="19"/>
        </w:rPr>
        <w:t xml:space="preserve"> Proyecto Integrador de Desarrollo de Software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Profesor:</w:t>
      </w:r>
      <w:r>
        <w:rPr>
          <w:rFonts w:ascii="Segoe UI" w:hAnsi="Segoe UI"/>
          <w:color w:val="2D3748"/>
          <w:sz w:val="19"/>
        </w:rPr>
        <w:t xml:space="preserve"> Dr. Gabriel Navarro Salcedo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Institución:</w:t>
      </w:r>
      <w:r>
        <w:rPr>
          <w:rFonts w:ascii="Segoe UI" w:hAnsi="Segoe UI"/>
          <w:color w:val="2D3748"/>
          <w:sz w:val="19"/>
        </w:rPr>
        <w:t xml:space="preserve"> Centro Universitario de Tonalá — Universidad de Guadalajara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1. Fundamento Teórico y Conceptual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Una simple lista de nombres de casos de uso no es suficiente para que un equipo de desarrollo programe sin ambigüedades; se requiere una especificación formal y estructurada conocida en la ingeniería de software como plantilla de caso de uso detallada (*fully dressed use case*) (Cockburn, 2000). Como señalan Larman (2004) y Pressman y Maxim (2021), especificar un caso de uso implica redactar de forma minuciosa el flujo básico o "camino feliz" (*main success scenario*), las precondiciones necesarias antes de arrancar, las postcondiciones que garantizan el éxito y todos los flujos alternativos o excepciones que pueden presentarse cuando algo sale mal.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Dentro de la Matriz de Zachman (1987), la celda </w:t>
      </w:r>
      <w:r>
        <w:rPr>
          <w:rFonts w:ascii="Segoe UI" w:hAnsi="Segoe UI"/>
          <w:b/>
          <w:color w:val="2D3748"/>
          <w:sz w:val="19"/>
        </w:rPr>
        <w:t>Alto Nivel - Cómo</w:t>
      </w:r>
      <w:r>
        <w:rPr>
          <w:rFonts w:ascii="Segoe UI" w:hAnsi="Segoe UI"/>
          <w:color w:val="2D3748"/>
          <w:sz w:val="19"/>
        </w:rPr>
        <w:t xml:space="preserve"> aborda la especificación lógica del comportamiento del sistema (*Logical Process Model / Designer's View*). En este nivel traducimos las intenciones del negocio en secuencias formales de interacción. A continuación se presentan las especificaciones detalladas de los tres casos de uso más críticos para la operación de </w:t>
      </w:r>
      <w:r>
        <w:rPr>
          <w:rFonts w:ascii="Segoe UI" w:hAnsi="Segoe UI"/>
          <w:b/>
          <w:color w:val="2D3748"/>
          <w:sz w:val="19"/>
        </w:rPr>
        <w:t>Monchis Café</w:t>
      </w:r>
      <w:r>
        <w:rPr>
          <w:rFonts w:ascii="Segoe UI" w:hAnsi="Segoe UI"/>
          <w:color w:val="2D3748"/>
          <w:sz w:val="19"/>
        </w:rPr>
        <w:t>: la autenticación segura, la venta en mostrador con bono ecológico y la reversa transaccional compensatoria.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2. Especificación Formal de Casos de Uso Principales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0"/>
        </w:rPr>
        <w:t>Ficha 1: CU-01 — Iniciar Sesión con Google reCAPTCHA y JWT Stateless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Identificador:</w:t>
      </w:r>
      <w:r>
        <w:rPr>
          <w:rFonts w:ascii="Segoe UI" w:hAnsi="Segoe UI"/>
          <w:color w:val="2D3748"/>
          <w:sz w:val="19"/>
        </w:rPr>
        <w:t xml:space="preserve"> CU-01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Nombre:</w:t>
      </w:r>
      <w:r>
        <w:rPr>
          <w:rFonts w:ascii="Segoe UI" w:hAnsi="Segoe UI"/>
          <w:color w:val="2D3748"/>
          <w:sz w:val="19"/>
        </w:rPr>
        <w:t xml:space="preserve"> Iniciar Sesión con Google reCAPTCHA y JWT Stateless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Actor Principal:</w:t>
      </w:r>
      <w:r>
        <w:rPr>
          <w:rFonts w:ascii="Segoe UI" w:hAnsi="Segoe UI"/>
          <w:color w:val="2D3748"/>
          <w:sz w:val="19"/>
        </w:rPr>
        <w:t xml:space="preserve"> Empleado (Cajero / Administrador)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Actores Secundarios:</w:t>
      </w:r>
      <w:r>
        <w:rPr>
          <w:rFonts w:ascii="Segoe UI" w:hAnsi="Segoe UI"/>
          <w:color w:val="2D3748"/>
          <w:sz w:val="19"/>
        </w:rPr>
        <w:t xml:space="preserve"> Servicio Cloud de Google reCAPTCHA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Precondición:</w:t>
      </w:r>
      <w:r>
        <w:rPr>
          <w:rFonts w:ascii="Segoe UI" w:hAnsi="Segoe UI"/>
          <w:color w:val="2D3748"/>
          <w:sz w:val="19"/>
        </w:rPr>
        <w:t xml:space="preserve"> El usuario debe estar registrado activamente en la base de datos y tener conectividad de red.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Postcondición:</w:t>
      </w:r>
      <w:r>
        <w:rPr>
          <w:rFonts w:ascii="Segoe UI" w:hAnsi="Segoe UI"/>
          <w:color w:val="2D3748"/>
          <w:sz w:val="19"/>
        </w:rPr>
        <w:t xml:space="preserve"> Se entrega un Access Token JWT de 15 minutos en memoria, se establece la cookie `httpOnly` con el Refresh Token de 7 días y se redirige a la pantalla correspondiente según el rol (`/pos` o `/admin`).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Disparador:</w:t>
      </w:r>
      <w:r>
        <w:rPr>
          <w:rFonts w:ascii="Segoe UI" w:hAnsi="Segoe UI"/>
          <w:color w:val="2D3748"/>
          <w:sz w:val="19"/>
        </w:rPr>
        <w:t xml:space="preserve"> El empleado ingresa sus credenciales en el formulario web de acceso.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FLUJO PRINCIPAL (Camino Feliz):</w:t>
              <w:br/>
              <w:t>1. El usuario accede a la pantalla de login (/login) e ingresa su correo electrónico y contraseña.</w:t>
              <w:br/>
              <w:t>2. El widget de Google reCAPTCHA v2/v3 genera un token criptográfico de verificación anti-bot en el cliente.</w:t>
              <w:br/>
              <w:t>3. El usuario presiona el botón "Iniciar Sesión".</w:t>
              <w:br/>
              <w:t>4. El frontend envía la petición POST a /api/auth/login con email, password y g-recaptcha-response.</w:t>
              <w:br/>
              <w:t>5. El backend valida el token con la API oficial de Google (https://www.google.com/recaptcha/api/siteverify).</w:t>
              <w:br/>
              <w:t>6. Google responde con éxito (success: true, score &gt;= 0.5).</w:t>
              <w:br/>
              <w:t>7. El backend busca el usuario en PostgreSQL y comprueba la contraseña mediante hash bcrypt (costo 12).</w:t>
              <w:br/>
              <w:t>8. Si las credenciales son correctas y el rol es 'CAJERO', genera los tokens JWT stateless (Access Token con jti único).</w:t>
              <w:br/>
              <w:t>9. El backend inyecta la cookie httpOnly + Secure + SameSite=Strict con el Refresh Token y retorna HTTP 200.</w:t>
              <w:br/>
              <w:t>10. El frontend almacena el Access Token en Pinia y redirige al cajero a la terminal de ventas (/pos).</w:t>
              <w:br/>
              <w:br/>
              <w:t>FLUJOS ALTERNATIVOS Y EXCEPCIONES:</w:t>
              <w:br/>
              <w:t>* 5a. Token de reCAPTCHA inválido o ausente:</w:t>
              <w:br/>
              <w:t xml:space="preserve">  - El backend rechaza la petición con HTTP 403 Forbidden ("Verificación de seguridad anti-bot fallida").</w:t>
              <w:br/>
              <w:t>* 7a. Contraseña incorrecta o usuario inactivo:</w:t>
              <w:br/>
              <w:t xml:space="preserve">  - El sistema incrementa el contador de intentos fallidos en Redis y retorna HTTP 401 ("Credenciales inválidas").</w:t>
              <w:br/>
              <w:t xml:space="preserve">  - Si se acumulan 5 intentos fallidos en menos de 15 minutos, bloquea temporalmente la IP (RN-07).</w:t>
              <w:br/>
              <w:t>* 8a. El usuario tiene rol 'ADMIN':</w:t>
              <w:br/>
              <w:t xml:space="preserve">  - Se suspende la emisión del token final y el sistema desvía al flujo de CU-02 (Desafío de Segundo Factor 2FA).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0"/>
        </w:rPr>
        <w:t>Ficha 2: CU-03 / CU-04 — Venta en Mostrador, Bono Ecológico y Cobro Multipago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Identificador:</w:t>
      </w:r>
      <w:r>
        <w:rPr>
          <w:rFonts w:ascii="Segoe UI" w:hAnsi="Segoe UI"/>
          <w:color w:val="2D3748"/>
          <w:sz w:val="19"/>
        </w:rPr>
        <w:t xml:space="preserve"> CU-03 / CU-04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Nombre:</w:t>
      </w:r>
      <w:r>
        <w:rPr>
          <w:rFonts w:ascii="Segoe UI" w:hAnsi="Segoe UI"/>
          <w:color w:val="2D3748"/>
          <w:sz w:val="19"/>
        </w:rPr>
        <w:t xml:space="preserve"> Registrar Venta en Mostrador, Aplicar Bono Ecológico y Procesar Cobro Multipago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Actor Principal:</w:t>
      </w:r>
      <w:r>
        <w:rPr>
          <w:rFonts w:ascii="Segoe UI" w:hAnsi="Segoe UI"/>
          <w:color w:val="2D3748"/>
          <w:sz w:val="19"/>
        </w:rPr>
        <w:t xml:space="preserve"> Cajero de Turno (Barista)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Actores Secundarios:</w:t>
      </w:r>
      <w:r>
        <w:rPr>
          <w:rFonts w:ascii="Segoe UI" w:hAnsi="Segoe UI"/>
          <w:color w:val="2D3748"/>
          <w:sz w:val="19"/>
        </w:rPr>
        <w:t xml:space="preserve"> Cliente, Pasarela Bancaria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Precondición:</w:t>
      </w:r>
      <w:r>
        <w:rPr>
          <w:rFonts w:ascii="Segoe UI" w:hAnsi="Segoe UI"/>
          <w:color w:val="2D3748"/>
          <w:sz w:val="19"/>
        </w:rPr>
        <w:t xml:space="preserve"> El cajero debe tener sesión iniciada en `/pos` y la caja debe estar abierta con fondo inicial.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Postcondición:</w:t>
      </w:r>
      <w:r>
        <w:rPr>
          <w:rFonts w:ascii="Segoe UI" w:hAnsi="Segoe UI"/>
          <w:color w:val="2D3748"/>
          <w:sz w:val="19"/>
        </w:rPr>
        <w:t xml:space="preserve"> La orden se almacena en PostgreSQL en estado `PAGADA`, se decrementa el stock de café aplicando rotación PEPS, se suman sellos en Monchis Rewards y se imprime/envía el ticket.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Disparador:</w:t>
      </w:r>
      <w:r>
        <w:rPr>
          <w:rFonts w:ascii="Segoe UI" w:hAnsi="Segoe UI"/>
          <w:color w:val="2D3748"/>
          <w:sz w:val="19"/>
        </w:rPr>
        <w:t xml:space="preserve"> Un cliente solicita bebidas o alimentos en la barra de atención.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FLUJO PRINCIPAL (Camino Feliz):</w:t>
              <w:br/>
              <w:t>1. El cajero agrega productos a la orden mediante lectura óptica de código de barras o teclado táctil.</w:t>
              <w:br/>
              <w:t>2. El sistema consulta los precios oficiales del catálogo en el servidor y calcula subtotal e IVA.</w:t>
              <w:br/>
              <w:t>3. El cajero verifica si el cliente trae termo o taza personal y presiona la tecla o botón "Bono Ecológico".</w:t>
              <w:br/>
              <w:t>4. El sistema aplica el descuento de $5.00 MXN en el total o duplica los sellos asignados (ODS 12).</w:t>
              <w:br/>
              <w:t>5. El cliente indica el método de pago deseado:</w:t>
              <w:br/>
              <w:t xml:space="preserve">   - Si es Efectivo: El cajero digita el monto recibido y el sistema calcula y despliega el cambio exacto.</w:t>
              <w:br/>
              <w:t xml:space="preserve">   - Si es Tarjeta: El cajero solicita cobro en la terminal bancaria e ingresa el código de autorización.</w:t>
              <w:br/>
              <w:t xml:space="preserve">   - Si es Transferencia/SPEI: El cajero ingresa la clave de rastreo bancaria provista por el cliente.</w:t>
              <w:br/>
              <w:t>6. El cajero presiona la tecla de cobro rápido [F2].</w:t>
              <w:br/>
              <w:t>7. El backend procesa la transacción atómica (prisma.$transaction):</w:t>
              <w:br/>
              <w:t xml:space="preserve">   a) Crea el registro Order y sus OrderItems.</w:t>
              <w:br/>
              <w:t xml:space="preserve">   b) Decrementa las existencias del lote orgánico más antiguo (PEPS).</w:t>
              <w:br/>
              <w:t xml:space="preserve">   c) Si el cliente está registrado en Rewards, añade 1 sello digital.</w:t>
              <w:br/>
              <w:t>8. La orden pasa al estado 'PAGADA'.</w:t>
              <w:br/>
              <w:t>9. El sistema emite el ticket de compra y limpia automáticamente la pantalla para el siguiente cliente.</w:t>
              <w:br/>
              <w:br/>
              <w:t>FLUJOS ALTERNATIVOS Y EXCEPCIONES:</w:t>
              <w:br/>
              <w:t>* 5a. El cliente cuenta con 7 sellos en Monchis Rewards:</w:t>
              <w:br/>
              <w:t xml:space="preserve">  - El sistema activa CU-06 y descuenta el 100% del costo de la bebida preparada ($0.00 cortesía).</w:t>
              <w:br/>
              <w:t>* 7a. Interrupción de red externa durante el cobro:</w:t>
              <w:br/>
              <w:t xml:space="preserve">  - El sistema activa el almacenamiento local seguro en memoria del navegador y encola la sincronización.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0"/>
        </w:rPr>
        <w:t>Ficha 3: CU-12 — Orquestar Reversa Transaccional Compensatoria (Saga)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Identificador:</w:t>
      </w:r>
      <w:r>
        <w:rPr>
          <w:rFonts w:ascii="Segoe UI" w:hAnsi="Segoe UI"/>
          <w:color w:val="2D3748"/>
          <w:sz w:val="19"/>
        </w:rPr>
        <w:t xml:space="preserve"> CU-12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Nombre:</w:t>
      </w:r>
      <w:r>
        <w:rPr>
          <w:rFonts w:ascii="Segoe UI" w:hAnsi="Segoe UI"/>
          <w:color w:val="2D3748"/>
          <w:sz w:val="19"/>
        </w:rPr>
        <w:t xml:space="preserve"> Orquestar Reversa Transaccional Compensatoria (Patrón Saga ante Ruptura de Stock)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Actor Principal:</w:t>
      </w:r>
      <w:r>
        <w:rPr>
          <w:rFonts w:ascii="Segoe UI" w:hAnsi="Segoe UI"/>
          <w:color w:val="2D3748"/>
          <w:sz w:val="19"/>
        </w:rPr>
        <w:t xml:space="preserve"> Sistema Informático (Worker RabbitMQ)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Actores Secundarios:</w:t>
      </w:r>
      <w:r>
        <w:rPr>
          <w:rFonts w:ascii="Segoe UI" w:hAnsi="Segoe UI"/>
          <w:color w:val="2D3748"/>
          <w:sz w:val="19"/>
        </w:rPr>
        <w:t xml:space="preserve"> Cajero, Administrador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Precondición:</w:t>
      </w:r>
      <w:r>
        <w:rPr>
          <w:rFonts w:ascii="Segoe UI" w:hAnsi="Segoe UI"/>
          <w:color w:val="2D3748"/>
          <w:sz w:val="19"/>
        </w:rPr>
        <w:t xml:space="preserve"> Se registró una orden en estado `PAGADA` pero el barista detecta en barra que el grano orgánico del lote asignado se agotó físicamente o presentó contaminación antes de servir.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Postcondición:</w:t>
      </w:r>
      <w:r>
        <w:rPr>
          <w:rFonts w:ascii="Segoe UI" w:hAnsi="Segoe UI"/>
          <w:color w:val="2D3748"/>
          <w:sz w:val="19"/>
        </w:rPr>
        <w:t xml:space="preserve"> La orden pasa al estado `CANCELADA_REEMBOLSADA`, se reintegra el dinero al cliente, se anula la suma de sellos y se genera un registro de auditoría en la cola de eventos.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Disparador:</w:t>
      </w:r>
      <w:r>
        <w:rPr>
          <w:rFonts w:ascii="Segoe UI" w:hAnsi="Segoe UI"/>
          <w:color w:val="2D3748"/>
          <w:sz w:val="19"/>
        </w:rPr>
        <w:t xml:space="preserve"> Notificación de inconsistencia de inventario en mostrador.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FLUJO PRINCIPAL (Transacción Compensatoria):</w:t>
              <w:br/>
              <w:t>1. El cajero o el sistema reporta la imposibilidad de surtir la orden cobrada por agotamiento del insumo orgánico.</w:t>
              <w:br/>
              <w:t>2. El backend emite un evento asíncrono 'inventario.stock.insuficiente' al exchange de RabbitMQ (cafeteria.events).</w:t>
              <w:br/>
              <w:t>3. El componente SagaWorker intercepta el evento y ejecuta la transacción compensatoria (Reversa):</w:t>
              <w:br/>
              <w:t xml:space="preserve">   a) Modifica el estado de la orden de 'PAGADA' a 'CANCELADA_REEMBOLSADA'.</w:t>
              <w:br/>
              <w:t xml:space="preserve">   b) Genera un comprobante de devolución de dinero en efectivo o cancelación de cargo en tarjeta.</w:t>
              <w:br/>
              <w:t xml:space="preserve">   c) Revoca los puntos o sellos de fidelización que se habían asignado preventivamente.</w:t>
              <w:br/>
              <w:t xml:space="preserve">   d) Restituye cualquier insumo complementario no afectado en la orden.</w:t>
              <w:br/>
              <w:t>4. El sistema registra el evento en la tabla SagaStateLog y emite una notificación al Administrador.</w:t>
              <w:br/>
              <w:t>5. El cajero entrega el reembolso físico al cliente ofreciendo una disculpa y el ticket cancelado.</w:t>
              <w:br/>
              <w:br/>
              <w:t>FLUJOS ALTERNATIVOS Y EXCEPCIONES:</w:t>
              <w:br/>
              <w:t>* 3a. El broker de mensajería no puede confirmar la compensación tras 3 intentos (10s, 60s, 300s):</w:t>
              <w:br/>
              <w:t xml:space="preserve">  - El evento es desviado a la Dead Letter Queue (orders.dlq) y el servicio SMTP envía una alerta de error crítico a gerencia.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3. Justificación Práctica en el Proyecto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Redactar casos de uso con este nivel de rigurosidad evita que los desarrolladores asuman cosas que nadie les pidió o que olviden los escenarios de error. Como bien señala Cockburn (2000), el 80% de los errores en producción ocurren en los flujos alternativos y en el manejo de excepciones, no en el camino feliz. Saber con exactitud qué pasa cuando falla una tarjeta, qué hacer si el cliente presenta termo o cómo devolver el dinero si se acaba el grano es lo que convierte a Monchis Café en un software confiable y profesional listo para operar en mostrador.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4. Referencias Bibliográficas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Cockburn, A. (2000).</w:t>
      </w:r>
      <w:r>
        <w:rPr>
          <w:rFonts w:ascii="Segoe UI" w:hAnsi="Segoe UI"/>
          <w:color w:val="2D3748"/>
          <w:sz w:val="19"/>
        </w:rPr>
        <w:t xml:space="preserve"> *Writing Effective Use Cases*. Addison-Wesley Professional.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Larman, C. (2004).</w:t>
      </w:r>
      <w:r>
        <w:rPr>
          <w:rFonts w:ascii="Segoe UI" w:hAnsi="Segoe UI"/>
          <w:color w:val="2D3748"/>
          <w:sz w:val="19"/>
        </w:rPr>
        <w:t xml:space="preserve"> *Applying UML and Patterns: An Introduction to Object-Oriented Analysis and Design and Iterative Development* (3.ª ed.). Prentice Hall.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Pressman, R. S., &amp; Maxim, B. R. (2021).</w:t>
      </w:r>
      <w:r>
        <w:rPr>
          <w:rFonts w:ascii="Segoe UI" w:hAnsi="Segoe UI"/>
          <w:color w:val="2D3748"/>
          <w:sz w:val="19"/>
        </w:rPr>
        <w:t xml:space="preserve"> *Ingeniería de software: un enfoque práctico* (9.ª ed.). McGraw-Hill Interamericana.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Zachman, J. A. (1987).</w:t>
      </w:r>
      <w:r>
        <w:rPr>
          <w:rFonts w:ascii="Segoe UI" w:hAnsi="Segoe UI"/>
          <w:color w:val="2D3748"/>
          <w:sz w:val="19"/>
        </w:rPr>
        <w:t xml:space="preserve"> A framework for information systems architecture. *IBM Systems Journal*, 26(3), 276–292. https://doi.org/10.1147/sj.263.0276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