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3: ALTO NIVEL — Foco: DÓNDE</w:t>
      </w:r>
    </w:p>
    <w:p>
      <w:pPr>
        <w:spacing w:before="200" w:after="80"/>
      </w:pPr>
      <w:r>
        <w:rPr>
          <w:rFonts w:ascii="Segoe UI" w:hAnsi="Segoe UI"/>
          <w:b/>
          <w:color w:val="8C6B52"/>
          <w:sz w:val="28"/>
        </w:rPr>
        <w:t>Arquitectura de Subsistemas y Módulos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la arquitectura de software, la descomposición modular consiste en dividir un sistema complejo en subsistemas y módulos desacoplados con responsabilidades únicas y bien delimitadas (*Single Responsibility Principle*) (Bass et al., 2012). Como advierte Fowler (2002), cuando los sistemas empresariales se construyen como un monolito desordenado ("bola de lodo"), cualquier cambio pequeño en una pantalla de cobro termina rompiendo el módulo de inventarios o corrompiendo la base de datos. Para evitar esto, la ingeniería moderna recurre al diseño por capas y al uso de arquitecturas de Monorepo estructuradas en paquetes independientes (Sommerville, 2011).</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Alto Nivel - Dónde</w:t>
      </w:r>
      <w:r>
        <w:rPr>
          <w:rFonts w:ascii="Segoe UI" w:hAnsi="Segoe UI"/>
          <w:color w:val="2D3748"/>
          <w:sz w:val="19"/>
        </w:rPr>
        <w:t xml:space="preserve"> define la distribución lógica de componentes (*System Architecture / Designer's View*). En este nivel del diseñador, respondemos a la pregunta: *¿Dónde reside cada función y cómo se comunican los subsistemas entre sí?* Para </w:t>
      </w:r>
      <w:r>
        <w:rPr>
          <w:rFonts w:ascii="Segoe UI" w:hAnsi="Segoe UI"/>
          <w:b/>
          <w:color w:val="2D3748"/>
          <w:sz w:val="19"/>
        </w:rPr>
        <w:t>Monchis Café</w:t>
      </w:r>
      <w:r>
        <w:rPr>
          <w:rFonts w:ascii="Segoe UI" w:hAnsi="Segoe UI"/>
          <w:color w:val="2D3748"/>
          <w:sz w:val="19"/>
        </w:rPr>
        <w:t xml:space="preserve">, adoptamos una arquitectura de </w:t>
      </w:r>
      <w:r>
        <w:rPr>
          <w:rFonts w:ascii="Segoe UI" w:hAnsi="Segoe UI"/>
          <w:b/>
          <w:color w:val="2D3748"/>
          <w:sz w:val="19"/>
        </w:rPr>
        <w:t>Monorepo</w:t>
      </w:r>
      <w:r>
        <w:rPr>
          <w:rFonts w:ascii="Segoe UI" w:hAnsi="Segoe UI"/>
          <w:color w:val="2D3748"/>
          <w:sz w:val="19"/>
        </w:rPr>
        <w:t xml:space="preserve"> administrada con `pnpm workspaces` y `Turborepo`, separando con total claridad las aplicaciones de cara al usuario (`apps/`) de las bibliotecas de lógica compartida, persistencia y mensajería (`packages/`).</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Mapa Arquitectónico de Subsistemas y Módulos</w:t>
      </w:r>
    </w:p>
    <w:p>
      <w:pPr>
        <w:spacing w:before="40" w:after="60" w:line="276" w:lineRule="auto"/>
      </w:pPr>
      <w:r>
        <w:rPr>
          <w:rFonts w:ascii="Segoe UI" w:hAnsi="Segoe UI"/>
          <w:color w:val="2D3748"/>
          <w:sz w:val="19"/>
        </w:rPr>
        <w:t>La siguiente estructura ilustra cómo se descomponen y relacionan los subsistemas del proyecto:</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MONOREPO ROOT (Turborepo)                                 |</w:t>
              <w:br/>
              <w:t>+=======================================================================================+</w:t>
              <w:br/>
              <w:t>|                               APLICACIONES (apps/)                                    |</w:t>
              <w:br/>
              <w:t>|  +-------------------------------------+   +---------------------------------------+  |</w:t>
              <w:br/>
              <w:t>|  |     SUBSISTEMA 1: apps/web          |   |       SUBSISTEMA 2: apps/api          |  |</w:t>
              <w:br/>
              <w:t>|  |  (Frontend Vue 3 + Vite + vite-ssg) |   |    (Backend RESTful API Stateless)    |  |</w:t>
              <w:br/>
              <w:t>|  |                                     |   |                                       |  |</w:t>
              <w:br/>
              <w:t>|  |  * Mod. POS Mostrador (views/pos)   |   |  * Mod. Órdenes POS (api/pos/orders)  |  |</w:t>
              <w:br/>
              <w:t>|  |  * Mod. Rewards (views/rewards)     |   |  * Mod. Lotes PEPS (api/inventory)    |  |</w:t>
              <w:br/>
              <w:t>|  |  * Mod. Admin y Analítica (views)   |   |  * Mod. Analítica UTM (api/admin)     |  |</w:t>
              <w:br/>
              <w:t>|  |  * Mod. Auth y Perfil (Pinia store) |   |  * Mod. Auth Stateless (JWT/reCAPTCHA)|  |</w:t>
              <w:br/>
              <w:t>|  |  * Mod. Catálogo Público SEO (SSG)  |   |  * Mod. Alertas SMTP (EmailService)   |  |</w:t>
              <w:br/>
              <w:t>|  +-------------------------------------+   +---------------------------------------+  |</w:t>
              <w:br/>
              <w:t>|                     |                                          |                      |</w:t>
              <w:br/>
              <w:t>|                     +--------------------+---------------------+                      |</w:t>
              <w:br/>
              <w:t>|                                          |                                            |</w:t>
              <w:br/>
              <w:t>|                                          v                                            |</w:t>
              <w:br/>
              <w:t>|                               PAQUETES (packages/)                                    |</w:t>
              <w:br/>
              <w:t>|  +---------------------------------------------------------------------------------+  |</w:t>
              <w:br/>
              <w:t>|  | SUBSISTEMA 3: packages/database (Prisma ORM + PostgreSQL 15)                    |  |</w:t>
              <w:br/>
              <w:t>|  |  * Tablas: User, Product, Batch, Order, OrderItem, Attribution, SagaStateLog. |  |</w:t>
              <w:br/>
              <w:t>|  +---------------------------------------------------------------------------------+  |</w:t>
              <w:br/>
              <w:t>|  | SUBSISTEMA 4: packages/messaging (RabbitMQ + Patrón Saga + DLQ)                |  |</w:t>
              <w:br/>
              <w:t>|  |  * RabbitMQClient, SagaWorker (Reversas transaccionales) y colas diferidas.    |  |</w:t>
              <w:br/>
              <w:t>|  +---------------------------------------------------------------------------------+  |</w:t>
              <w:br/>
              <w:t>|  | SUBSISTEMA 5: packages/shared-types (Contratos DTO y Tipos TypeScript)         |  |</w:t>
              <w:br/>
              <w:t>|  +---------------------------------------------------------------------------------+  |</w:t>
              <w:br/>
              <w: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Descripción Detallada de Subsistemas</w:t>
      </w:r>
    </w:p>
    <w:p>
      <w:pPr>
        <w:spacing w:before="120" w:after="40"/>
      </w:pPr>
      <w:r>
        <w:rPr>
          <w:rFonts w:ascii="Segoe UI" w:hAnsi="Segoe UI"/>
          <w:b/>
          <w:color w:val="2D3748"/>
          <w:sz w:val="20"/>
        </w:rPr>
        <w:t>3.1 Subsistema 1: Frontend Web y POS de Mostrador (`apps/web`)</w:t>
      </w:r>
    </w:p>
    <w:p>
      <w:pPr>
        <w:pStyle w:val="ListBullet"/>
        <w:spacing w:before="20" w:after="40" w:line="276" w:lineRule="auto"/>
      </w:pPr>
      <w:r>
        <w:rPr>
          <w:rFonts w:ascii="Segoe UI" w:hAnsi="Segoe UI"/>
          <w:color w:val="2D3748"/>
          <w:sz w:val="19"/>
        </w:rPr>
      </w:r>
      <w:r>
        <w:rPr>
          <w:rFonts w:ascii="Segoe UI" w:hAnsi="Segoe UI"/>
          <w:b/>
          <w:color w:val="2D3748"/>
          <w:sz w:val="19"/>
        </w:rPr>
        <w:t>Responsabilidad:</w:t>
      </w:r>
      <w:r>
        <w:rPr>
          <w:rFonts w:ascii="Segoe UI" w:hAnsi="Segoe UI"/>
          <w:color w:val="2D3748"/>
          <w:sz w:val="19"/>
        </w:rPr>
        <w:t xml:space="preserve"> Proveer la interfaz gráfica tanto para los clientes en internet como para el personal que cobra en mostrador.</w:t>
      </w:r>
    </w:p>
    <w:p>
      <w:pPr>
        <w:pStyle w:val="ListBullet"/>
        <w:spacing w:before="20" w:after="40" w:line="276" w:lineRule="auto"/>
      </w:pPr>
      <w:r>
        <w:rPr>
          <w:rFonts w:ascii="Segoe UI" w:hAnsi="Segoe UI"/>
          <w:color w:val="2D3748"/>
          <w:sz w:val="19"/>
        </w:rPr>
      </w:r>
      <w:r>
        <w:rPr>
          <w:rFonts w:ascii="Segoe UI" w:hAnsi="Segoe UI"/>
          <w:b/>
          <w:color w:val="2D3748"/>
          <w:sz w:val="19"/>
        </w:rPr>
        <w:t>Módulos Internos:</w:t>
      </w:r>
      <w:r>
        <w:rPr>
          <w:rFonts w:ascii="Segoe UI" w:hAnsi="Segoe UI"/>
          <w:color w:val="2D3748"/>
          <w:sz w:val="19"/>
        </w:rPr>
      </w:r>
    </w:p>
    <w:p>
      <w:pPr>
        <w:pStyle w:val="ListBullet"/>
        <w:spacing w:before="20" w:after="40" w:line="276" w:lineRule="auto"/>
      </w:pPr>
      <w:r>
        <w:rPr>
          <w:rFonts w:ascii="Segoe UI" w:hAnsi="Segoe UI"/>
          <w:color w:val="2D3748"/>
          <w:sz w:val="19"/>
        </w:rPr>
        <w:t>*Módulo POS (`src/views/pos/`):* Terminal de cobro rápido con cálculo reactivo de subtotales, bonificación ecológica y atajos de teclado (`F2`, `Esc`).</w:t>
      </w:r>
    </w:p>
    <w:p>
      <w:pPr>
        <w:pStyle w:val="ListBullet"/>
        <w:spacing w:before="20" w:after="40" w:line="276" w:lineRule="auto"/>
      </w:pPr>
      <w:r>
        <w:rPr>
          <w:rFonts w:ascii="Segoe UI" w:hAnsi="Segoe UI"/>
          <w:color w:val="2D3748"/>
          <w:sz w:val="19"/>
        </w:rPr>
        <w:t>*Módulo Monchis Rewards (`src/views/rewards/`):* Visualización de la tarjeta de 8 sellos digitales e incentivos ecológicos.</w:t>
      </w:r>
    </w:p>
    <w:p>
      <w:pPr>
        <w:pStyle w:val="ListBullet"/>
        <w:spacing w:before="20" w:after="40" w:line="276" w:lineRule="auto"/>
      </w:pPr>
      <w:r>
        <w:rPr>
          <w:rFonts w:ascii="Segoe UI" w:hAnsi="Segoe UI"/>
          <w:color w:val="2D3748"/>
          <w:sz w:val="19"/>
        </w:rPr>
        <w:t>*Módulo Administrativo (`src/views/admin/`):* Tablero con analítica de ventas, trazabilidad de lotes y exportación en Excel/PDF.</w:t>
      </w:r>
    </w:p>
    <w:p>
      <w:pPr>
        <w:pStyle w:val="ListBullet"/>
        <w:spacing w:before="20" w:after="40" w:line="276" w:lineRule="auto"/>
      </w:pPr>
      <w:r>
        <w:rPr>
          <w:rFonts w:ascii="Segoe UI" w:hAnsi="Segoe UI"/>
          <w:color w:val="2D3748"/>
          <w:sz w:val="19"/>
        </w:rPr>
        <w:t>*Módulo de Autenticación (`src/views/auth/` y `stores/authStore.ts`):* Control de sesiones con token en memoria y validación reCAPTCHA.</w:t>
      </w:r>
    </w:p>
    <w:p>
      <w:pPr>
        <w:pStyle w:val="ListBullet"/>
        <w:spacing w:before="20" w:after="40" w:line="276" w:lineRule="auto"/>
      </w:pPr>
      <w:r>
        <w:rPr>
          <w:rFonts w:ascii="Segoe UI" w:hAnsi="Segoe UI"/>
          <w:color w:val="2D3748"/>
          <w:sz w:val="19"/>
        </w:rPr>
        <w:t>*Módulo Prerenderizado SEO (`vite-ssg`):* Generación de HTML estático en tiempo de compilación para la landing page (`/`), menú y contacto.</w:t>
      </w:r>
    </w:p>
    <w:p>
      <w:pPr>
        <w:spacing w:before="120" w:after="40"/>
      </w:pPr>
      <w:r>
        <w:rPr>
          <w:rFonts w:ascii="Segoe UI" w:hAnsi="Segoe UI"/>
          <w:b/>
          <w:color w:val="2D3748"/>
          <w:sz w:val="20"/>
        </w:rPr>
        <w:t>3.2 Subsistema 2: Core API Gateway y Servicios de Negocio (`apps/api`)</w:t>
      </w:r>
    </w:p>
    <w:p>
      <w:pPr>
        <w:pStyle w:val="ListBullet"/>
        <w:spacing w:before="20" w:after="40" w:line="276" w:lineRule="auto"/>
      </w:pPr>
      <w:r>
        <w:rPr>
          <w:rFonts w:ascii="Segoe UI" w:hAnsi="Segoe UI"/>
          <w:color w:val="2D3748"/>
          <w:sz w:val="19"/>
        </w:rPr>
      </w:r>
      <w:r>
        <w:rPr>
          <w:rFonts w:ascii="Segoe UI" w:hAnsi="Segoe UI"/>
          <w:b/>
          <w:color w:val="2D3748"/>
          <w:sz w:val="19"/>
        </w:rPr>
        <w:t>Responsabilidad:</w:t>
      </w:r>
      <w:r>
        <w:rPr>
          <w:rFonts w:ascii="Segoe UI" w:hAnsi="Segoe UI"/>
          <w:color w:val="2D3748"/>
          <w:sz w:val="19"/>
        </w:rPr>
        <w:t xml:space="preserve"> Exponer endpoints RESTful seguros, validar datos con esquemas Zod y ejecutar las reglas de negocio de la cafetería.</w:t>
      </w:r>
    </w:p>
    <w:p>
      <w:pPr>
        <w:pStyle w:val="ListBullet"/>
        <w:spacing w:before="20" w:after="40" w:line="276" w:lineRule="auto"/>
      </w:pPr>
      <w:r>
        <w:rPr>
          <w:rFonts w:ascii="Segoe UI" w:hAnsi="Segoe UI"/>
          <w:color w:val="2D3748"/>
          <w:sz w:val="19"/>
        </w:rPr>
      </w:r>
      <w:r>
        <w:rPr>
          <w:rFonts w:ascii="Segoe UI" w:hAnsi="Segoe UI"/>
          <w:b/>
          <w:color w:val="2D3748"/>
          <w:sz w:val="19"/>
        </w:rPr>
        <w:t>Módulos Internos:</w:t>
      </w:r>
      <w:r>
        <w:rPr>
          <w:rFonts w:ascii="Segoe UI" w:hAnsi="Segoe UI"/>
          <w:color w:val="2D3748"/>
          <w:sz w:val="19"/>
        </w:rPr>
      </w:r>
    </w:p>
    <w:p>
      <w:pPr>
        <w:pStyle w:val="ListBullet"/>
        <w:spacing w:before="20" w:after="40" w:line="276" w:lineRule="auto"/>
      </w:pPr>
      <w:r>
        <w:rPr>
          <w:rFonts w:ascii="Segoe UI" w:hAnsi="Segoe UI"/>
          <w:color w:val="2D3748"/>
          <w:sz w:val="19"/>
        </w:rPr>
        <w:t>*Módulo de Transacciones POS (`src/app/api/pos/orders/`):* Procesamiento atómico de órdenes, decremento de inventario y cálculo de cambio.</w:t>
      </w:r>
    </w:p>
    <w:p>
      <w:pPr>
        <w:pStyle w:val="ListBullet"/>
        <w:spacing w:before="20" w:after="40" w:line="276" w:lineRule="auto"/>
      </w:pPr>
      <w:r>
        <w:rPr>
          <w:rFonts w:ascii="Segoe UI" w:hAnsi="Segoe UI"/>
          <w:color w:val="2D3748"/>
          <w:sz w:val="19"/>
        </w:rPr>
        <w:t>*Módulo de Inventario y Lotes (`src/app/api/inventory/batches/`):* Registro y consulta de lotes de café campesino bajo rotación PEPS.</w:t>
      </w:r>
    </w:p>
    <w:p>
      <w:pPr>
        <w:pStyle w:val="ListBullet"/>
        <w:spacing w:before="20" w:after="40" w:line="276" w:lineRule="auto"/>
      </w:pPr>
      <w:r>
        <w:rPr>
          <w:rFonts w:ascii="Segoe UI" w:hAnsi="Segoe UI"/>
          <w:color w:val="2D3748"/>
          <w:sz w:val="19"/>
        </w:rPr>
        <w:t>*Módulo de Seguridad Stateless (`src/lib/jwt.ts` y `src/lib/recaptcha.ts`):* Emisión de JWT, rotación de cookies y verificación anti-bot con Google.</w:t>
      </w:r>
    </w:p>
    <w:p>
      <w:pPr>
        <w:pStyle w:val="ListBullet"/>
        <w:spacing w:before="20" w:after="40" w:line="276" w:lineRule="auto"/>
      </w:pPr>
      <w:r>
        <w:rPr>
          <w:rFonts w:ascii="Segoe UI" w:hAnsi="Segoe UI"/>
          <w:color w:val="2D3748"/>
          <w:sz w:val="19"/>
        </w:rPr>
        <w:t>*Módulo de Autenticación 2FA (`src/lib/totp.ts`):* Generación y validación de códigos de segundo factor para Administrador.</w:t>
      </w:r>
    </w:p>
    <w:p>
      <w:pPr>
        <w:pStyle w:val="ListBullet"/>
        <w:spacing w:before="20" w:after="40" w:line="276" w:lineRule="auto"/>
      </w:pPr>
      <w:r>
        <w:rPr>
          <w:rFonts w:ascii="Segoe UI" w:hAnsi="Segoe UI"/>
          <w:color w:val="2D3748"/>
          <w:sz w:val="19"/>
        </w:rPr>
        <w:t>*Módulo de Alertas Sanitarias (`src/lib/emailService.ts`):* Despacho de notificaciones preventivas de caducidad por correo SMTP.</w:t>
      </w:r>
    </w:p>
    <w:p>
      <w:pPr>
        <w:spacing w:before="120" w:after="40"/>
      </w:pPr>
      <w:r>
        <w:rPr>
          <w:rFonts w:ascii="Segoe UI" w:hAnsi="Segoe UI"/>
          <w:b/>
          <w:color w:val="2D3748"/>
          <w:sz w:val="20"/>
        </w:rPr>
        <w:t>3.3 Subsistema 3: Capa de Persistencia y Acceso a Datos (`packages/database`)</w:t>
      </w:r>
    </w:p>
    <w:p>
      <w:pPr>
        <w:pStyle w:val="ListBullet"/>
        <w:spacing w:before="20" w:after="40" w:line="276" w:lineRule="auto"/>
      </w:pPr>
      <w:r>
        <w:rPr>
          <w:rFonts w:ascii="Segoe UI" w:hAnsi="Segoe UI"/>
          <w:color w:val="2D3748"/>
          <w:sz w:val="19"/>
        </w:rPr>
      </w:r>
      <w:r>
        <w:rPr>
          <w:rFonts w:ascii="Segoe UI" w:hAnsi="Segoe UI"/>
          <w:b/>
          <w:color w:val="2D3748"/>
          <w:sz w:val="19"/>
        </w:rPr>
        <w:t>Responsabilidad:</w:t>
      </w:r>
      <w:r>
        <w:rPr>
          <w:rFonts w:ascii="Segoe UI" w:hAnsi="Segoe UI"/>
          <w:color w:val="2D3748"/>
          <w:sz w:val="19"/>
        </w:rPr>
        <w:t xml:space="preserve"> Garantizar la integridad referencial y transaccional ACID de la información comercial en PostgreSQL 15 mediante Prisma ORM.</w:t>
      </w:r>
    </w:p>
    <w:p>
      <w:pPr>
        <w:pStyle w:val="ListBullet"/>
        <w:spacing w:before="20" w:after="40" w:line="276" w:lineRule="auto"/>
      </w:pPr>
      <w:r>
        <w:rPr>
          <w:rFonts w:ascii="Segoe UI" w:hAnsi="Segoe UI"/>
          <w:color w:val="2D3748"/>
          <w:sz w:val="19"/>
        </w:rPr>
      </w:r>
      <w:r>
        <w:rPr>
          <w:rFonts w:ascii="Segoe UI" w:hAnsi="Segoe UI"/>
          <w:b/>
          <w:color w:val="2D3748"/>
          <w:sz w:val="19"/>
        </w:rPr>
        <w:t>Modelos Centrales:</w:t>
      </w:r>
      <w:r>
        <w:rPr>
          <w:rFonts w:ascii="Segoe UI" w:hAnsi="Segoe UI"/>
          <w:color w:val="2D3748"/>
          <w:sz w:val="19"/>
        </w:rPr>
      </w:r>
    </w:p>
    <w:p>
      <w:pPr>
        <w:pStyle w:val="ListBullet"/>
        <w:spacing w:before="20" w:after="40" w:line="276" w:lineRule="auto"/>
      </w:pPr>
      <w:r>
        <w:rPr>
          <w:rFonts w:ascii="Segoe UI" w:hAnsi="Segoe UI"/>
          <w:color w:val="2D3748"/>
          <w:sz w:val="19"/>
        </w:rPr>
        <w:t>`User`: Credenciales, rol RBAC (`ADMIN`, `CAJERO`, `CLIENTE`), sellos Rewards y secreto 2FA.</w:t>
      </w:r>
    </w:p>
    <w:p>
      <w:pPr>
        <w:pStyle w:val="ListBullet"/>
        <w:spacing w:before="20" w:after="40" w:line="276" w:lineRule="auto"/>
      </w:pPr>
      <w:r>
        <w:rPr>
          <w:rFonts w:ascii="Segoe UI" w:hAnsi="Segoe UI"/>
          <w:color w:val="2D3748"/>
          <w:sz w:val="19"/>
        </w:rPr>
        <w:t>`Product`: Catálogo oficial con precio unitario blindado y categoría (Orgánico vs Comercial).</w:t>
      </w:r>
    </w:p>
    <w:p>
      <w:pPr>
        <w:pStyle w:val="ListBullet"/>
        <w:spacing w:before="20" w:after="40" w:line="276" w:lineRule="auto"/>
      </w:pPr>
      <w:r>
        <w:rPr>
          <w:rFonts w:ascii="Segoe UI" w:hAnsi="Segoe UI"/>
          <w:color w:val="2D3748"/>
          <w:sz w:val="19"/>
        </w:rPr>
        <w:t>`Batch`: Lotes de café de especialidad con finca de origen, altitud, fechas de tueste y caducidad.</w:t>
      </w:r>
    </w:p>
    <w:p>
      <w:pPr>
        <w:pStyle w:val="ListBullet"/>
        <w:spacing w:before="20" w:after="40" w:line="276" w:lineRule="auto"/>
      </w:pPr>
      <w:r>
        <w:rPr>
          <w:rFonts w:ascii="Segoe UI" w:hAnsi="Segoe UI"/>
          <w:color w:val="2D3748"/>
          <w:sz w:val="19"/>
        </w:rPr>
        <w:t>`Order` y `OrderItem`: Registro inmutable de transacciones, desglose de IVA y método de pago.</w:t>
      </w:r>
    </w:p>
    <w:p>
      <w:pPr>
        <w:pStyle w:val="ListBullet"/>
        <w:spacing w:before="20" w:after="40" w:line="276" w:lineRule="auto"/>
      </w:pPr>
      <w:r>
        <w:rPr>
          <w:rFonts w:ascii="Segoe UI" w:hAnsi="Segoe UI"/>
          <w:color w:val="2D3748"/>
          <w:sz w:val="19"/>
        </w:rPr>
        <w:t>`Attribution`: Persistencia de canales UTM de adquisición (Google Maps, Instagram).</w:t>
      </w:r>
    </w:p>
    <w:p>
      <w:pPr>
        <w:pStyle w:val="ListBullet"/>
        <w:spacing w:before="20" w:after="40" w:line="276" w:lineRule="auto"/>
      </w:pPr>
      <w:r>
        <w:rPr>
          <w:rFonts w:ascii="Segoe UI" w:hAnsi="Segoe UI"/>
          <w:color w:val="2D3748"/>
          <w:sz w:val="19"/>
        </w:rPr>
        <w:t>`RevokedToken`: Blacklist persistente para invalidación inmediata de sesiones cerradas.</w:t>
      </w:r>
    </w:p>
    <w:p>
      <w:pPr>
        <w:spacing w:before="120" w:after="40"/>
      </w:pPr>
      <w:r>
        <w:rPr>
          <w:rFonts w:ascii="Segoe UI" w:hAnsi="Segoe UI"/>
          <w:b/>
          <w:color w:val="2D3748"/>
          <w:sz w:val="20"/>
        </w:rPr>
        <w:t>3.4 Subsistema 4: Mensajería Asíncrona y Orquestación Saga (`packages/messaging`)</w:t>
      </w:r>
    </w:p>
    <w:p>
      <w:pPr>
        <w:pStyle w:val="ListBullet"/>
        <w:spacing w:before="20" w:after="40" w:line="276" w:lineRule="auto"/>
      </w:pPr>
      <w:r>
        <w:rPr>
          <w:rFonts w:ascii="Segoe UI" w:hAnsi="Segoe UI"/>
          <w:color w:val="2D3748"/>
          <w:sz w:val="19"/>
        </w:rPr>
      </w:r>
      <w:r>
        <w:rPr>
          <w:rFonts w:ascii="Segoe UI" w:hAnsi="Segoe UI"/>
          <w:b/>
          <w:color w:val="2D3748"/>
          <w:sz w:val="19"/>
        </w:rPr>
        <w:t>Responsabilidad:</w:t>
      </w:r>
      <w:r>
        <w:rPr>
          <w:rFonts w:ascii="Segoe UI" w:hAnsi="Segoe UI"/>
          <w:color w:val="2D3748"/>
          <w:sz w:val="19"/>
        </w:rPr>
        <w:t xml:space="preserve"> Manejar eventos desacoplados y garantizar la consistencia eventual entre el cobro y el inventario.</w:t>
      </w:r>
    </w:p>
    <w:p>
      <w:pPr>
        <w:pStyle w:val="ListBullet"/>
        <w:spacing w:before="20" w:after="40" w:line="276" w:lineRule="auto"/>
      </w:pPr>
      <w:r>
        <w:rPr>
          <w:rFonts w:ascii="Segoe UI" w:hAnsi="Segoe UI"/>
          <w:color w:val="2D3748"/>
          <w:sz w:val="19"/>
        </w:rPr>
      </w:r>
      <w:r>
        <w:rPr>
          <w:rFonts w:ascii="Segoe UI" w:hAnsi="Segoe UI"/>
          <w:b/>
          <w:color w:val="2D3748"/>
          <w:sz w:val="19"/>
        </w:rPr>
        <w:t>Componentes:</w:t>
      </w:r>
      <w:r>
        <w:rPr>
          <w:rFonts w:ascii="Segoe UI" w:hAnsi="Segoe UI"/>
          <w:color w:val="2D3748"/>
          <w:sz w:val="19"/>
        </w:rPr>
      </w:r>
    </w:p>
    <w:p>
      <w:pPr>
        <w:pStyle w:val="ListBullet"/>
        <w:spacing w:before="20" w:after="40" w:line="276" w:lineRule="auto"/>
      </w:pPr>
      <w:r>
        <w:rPr>
          <w:rFonts w:ascii="Segoe UI" w:hAnsi="Segoe UI"/>
          <w:color w:val="2D3748"/>
          <w:sz w:val="19"/>
        </w:rPr>
        <w:t>`RabbitMQClient`: Gestión de conexiones AMQP y declaración de Exchanges (`cafeteria.events`).</w:t>
      </w:r>
    </w:p>
    <w:p>
      <w:pPr>
        <w:pStyle w:val="ListBullet"/>
        <w:spacing w:before="20" w:after="40" w:line="276" w:lineRule="auto"/>
      </w:pPr>
      <w:r>
        <w:rPr>
          <w:rFonts w:ascii="Segoe UI" w:hAnsi="Segoe UI"/>
          <w:color w:val="2D3748"/>
          <w:sz w:val="19"/>
        </w:rPr>
        <w:t>`SagaWorker`: Consumidor que escucha rupturas de stock y orquesta la transacción compensatoria (reversa) y reembolso al cliente.</w:t>
      </w:r>
    </w:p>
    <w:p>
      <w:pPr>
        <w:pStyle w:val="ListBullet"/>
        <w:spacing w:before="20" w:after="40" w:line="276" w:lineRule="auto"/>
      </w:pPr>
      <w:r>
        <w:rPr>
          <w:rFonts w:ascii="Segoe UI" w:hAnsi="Segoe UI"/>
          <w:color w:val="2D3748"/>
          <w:sz w:val="19"/>
        </w:rPr>
        <w:t>`DeadLetterQueue (orders.dlq)`: Cola de aislamiento para eventos con fallas reiteradas con alerta crítica por correo electrónico.</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Justificación Práctica en el Proyecto</w:t>
      </w:r>
    </w:p>
    <w:p>
      <w:pPr>
        <w:spacing w:before="40" w:after="60" w:line="276" w:lineRule="auto"/>
      </w:pPr>
      <w:r>
        <w:rPr>
          <w:rFonts w:ascii="Segoe UI" w:hAnsi="Segoe UI"/>
          <w:color w:val="2D3748"/>
          <w:sz w:val="19"/>
        </w:rPr>
        <w:t>Dividir el software en subsistemas independientes nos permite garantizar lo que en arquitectura se conoce como alta cohesión y bajo acoplamiento (Bass et al., 2012). En Monchis Café, esto significa que si la conexión a internet externa falla temporalmente o si la pasarela bancaria tarda en responder, la interfaz del POS no se queda congelada; puede continuar operando con su caché local y reintentar de forma asíncrona a través de las colas de RabbitMQ. Del mismo modo, el dueño puede consultar la analítica sin riesgo de alentar la terminal donde el barista está cobrando.</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Bass, L., Clements, P., &amp; Kazman, R. (2012).</w:t>
      </w:r>
      <w:r>
        <w:rPr>
          <w:rFonts w:ascii="Segoe UI" w:hAnsi="Segoe UI"/>
          <w:color w:val="2D3748"/>
          <w:sz w:val="19"/>
        </w:rPr>
        <w:t xml:space="preserve"> *Software Architecture in Practice* (3.ª ed.). Addison-Wesley.</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Fowler, M. (2002).</w:t>
      </w:r>
      <w:r>
        <w:rPr>
          <w:rFonts w:ascii="Segoe UI" w:hAnsi="Segoe UI"/>
          <w:color w:val="2D3748"/>
          <w:sz w:val="19"/>
        </w:rPr>
        <w:t xml:space="preserve"> *Patterns of Enterprise Application Architecture*. Addison-Wesley.</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Sommerville, I. (2011).</w:t>
      </w:r>
      <w:r>
        <w:rPr>
          <w:rFonts w:ascii="Segoe UI" w:hAnsi="Segoe UI"/>
          <w:color w:val="2D3748"/>
          <w:sz w:val="19"/>
        </w:rPr>
        <w:t xml:space="preserve"> *Ingeniería del software* (9.ª ed.). Addison-Wesley / Pearson Educación.</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