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3: ALTO NIVEL — Foco: QUIÉN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Descripción de Actores del Sistema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En el modelado con UML y el análisis de casos de uso, un actor no es necesariamente una persona con nombre y apellido; representa un rol idealizado que una entidad externa (humana, de hardware o de software) asume al interactuar directamente con las fronteras del sistema informático (Cockburn, 2000; Object Management Group [OMG], 2017). Como explican Pressman y Maxim (2021), es indispensable clasificar a los actores en </w:t>
      </w:r>
      <w:r>
        <w:rPr>
          <w:rFonts w:ascii="Segoe UI" w:hAnsi="Segoe UI"/>
          <w:b/>
          <w:color w:val="2D3748"/>
          <w:sz w:val="19"/>
        </w:rPr>
        <w:t>actores primarios</w:t>
      </w:r>
      <w:r>
        <w:rPr>
          <w:rFonts w:ascii="Segoe UI" w:hAnsi="Segoe UI"/>
          <w:color w:val="2D3748"/>
          <w:sz w:val="19"/>
        </w:rPr>
        <w:t xml:space="preserve"> (aquellos que inician un caso de uso para cumplir un objetivo de valor directo) y </w:t>
      </w:r>
      <w:r>
        <w:rPr>
          <w:rFonts w:ascii="Segoe UI" w:hAnsi="Segoe UI"/>
          <w:b/>
          <w:color w:val="2D3748"/>
          <w:sz w:val="19"/>
        </w:rPr>
        <w:t>actores secundarios</w:t>
      </w:r>
      <w:r>
        <w:rPr>
          <w:rFonts w:ascii="Segoe UI" w:hAnsi="Segoe UI"/>
          <w:color w:val="2D3748"/>
          <w:sz w:val="19"/>
        </w:rPr>
        <w:t xml:space="preserve"> (aquellos que brindan servicios complementarios, autorizaciones o almacenamiento externo para que el caso de uso pueda completarse con éxito).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Dentro de la Matriz de Zachman (1987), la celda </w:t>
      </w:r>
      <w:r>
        <w:rPr>
          <w:rFonts w:ascii="Segoe UI" w:hAnsi="Segoe UI"/>
          <w:b/>
          <w:color w:val="2D3748"/>
          <w:sz w:val="19"/>
        </w:rPr>
        <w:t>Alto Nivel - Quién</w:t>
      </w:r>
      <w:r>
        <w:rPr>
          <w:rFonts w:ascii="Segoe UI" w:hAnsi="Segoe UI"/>
          <w:color w:val="2D3748"/>
          <w:sz w:val="19"/>
        </w:rPr>
        <w:t xml:space="preserve"> define los *Actores del Sistema* desde la perspectiva lógica del diseñador (*System Model / Designer's View*). En este nivel traducimos los roles comerciales que definimos en el nivel de Alcance en entidades formales del modelo de análisis. Para </w:t>
      </w:r>
      <w:r>
        <w:rPr>
          <w:rFonts w:ascii="Segoe UI" w:hAnsi="Segoe UI"/>
          <w:b/>
          <w:color w:val="2D3748"/>
          <w:sz w:val="19"/>
        </w:rPr>
        <w:t>Monchis Café</w:t>
      </w:r>
      <w:r>
        <w:rPr>
          <w:rFonts w:ascii="Segoe UI" w:hAnsi="Segoe UI"/>
          <w:color w:val="2D3748"/>
          <w:sz w:val="19"/>
        </w:rPr>
        <w:t>, los actores no solo son el barista o el dueño del negocio; también se modelan como actores del sistema a los servicios cloud externos (como la API de Google reCAPTCHA o el servidor SMTP de correo) y a los componentes internos automatizados que actúan como agentes autónomos (como el consumidor de eventos RabbitMQ).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Catálogo Formal de Actores del Sistema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El ecosistema de </w:t>
      </w:r>
      <w:r>
        <w:rPr>
          <w:rFonts w:ascii="Segoe UI" w:hAnsi="Segoe UI"/>
          <w:b/>
          <w:color w:val="2D3748"/>
          <w:sz w:val="19"/>
        </w:rPr>
        <w:t>Monchis Café</w:t>
      </w:r>
      <w:r>
        <w:rPr>
          <w:rFonts w:ascii="Segoe UI" w:hAnsi="Segoe UI"/>
          <w:color w:val="2D3748"/>
          <w:sz w:val="19"/>
        </w:rPr>
        <w:t xml:space="preserve"> involucra ocho actores estructurados en tres categorías: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+=======================================================================================+</w:t>
              <w:br/>
              <w:t>|                               ACTORES DE MONCHIS CAFÉ                                 |</w:t>
              <w:br/>
              <w:t>+=======================================================================================+</w:t>
              <w:br/>
              <w:t>| 1. ACTORES HUMANOS PRIMARIOS (Iniciadores de Casos de Uso):                           |</w:t>
              <w:br/>
              <w:t>|    * ACT-01: Cajero de Mostrador (Barista)                                            |</w:t>
              <w:br/>
              <w:t>|    * ACT-02: Administrador (Dueño / Gerente General)                                  |</w:t>
              <w:br/>
              <w:t>|    * ACT-03: Cliente Consumidor (Monchis Rewards)                                     |</w:t>
              <w:br/>
              <w:t>+---------------------------------------------------------------------------------------+</w:t>
              <w:br/>
              <w:t>| 2. ACTORES HUMANOS SECUNDARIOS (Soporte Operativo):                                   |</w:t>
              <w:br/>
              <w:t>|    * ACT-04: Proveedor Campesino (Cooperativas de Especialidad)                       |</w:t>
              <w:br/>
              <w:t>+---------------------------------------------------------------------------------------+</w:t>
              <w:br/>
              <w:t>| 3. ACTORES DE SISTEMA Y SERVICIOS EXTERNOS (Automatizados):                           |</w:t>
              <w:br/>
              <w:t>|    * ACT-05: Servicio Cloud Google reCAPTCHA                                          |</w:t>
              <w:br/>
              <w:t>|    * ACT-06: Pasarela Bancaria y Red SPEI (SAT)                                       |</w:t>
              <w:br/>
              <w:t>|    * ACT-07: Servidor de Correo Electrónico SMTP                                      |</w:t>
              <w:br/>
              <w:t>|    * ACT-08: Orquestador de Eventos RabbitMQ (Saga Worker)                            |</w:t>
              <w:br/>
              <w:t>+=======================================================================================+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Fichas Descriptivas por Actor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Identificador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Nombre del Actor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Tipo de Actor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Rol y Responsabilidad en el Sistema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Casos de Uso que Inicia / Participa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 de Mostrador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Humano / Primario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Barista responsable de la venta rápida en la barra. Opera la terminal POS, escanea productos, aplica el bono ecológico (-$5.00), procesa cobros y realiza el arqueo al cierre de turno.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CU-01, CU-03, CU-04, CU-05, CU-06, CU-08.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Humano / Primario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Dueño o gerente con control total del negocio. Gestiona catálogo y precios, registra lotes de café con trazabilidad, audita cortes Z, revisa analítica de tráfico UTM y descarga reportes.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CU-01, CU-02, CU-07, CU-08, CU-09, CU-10.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Cliente Consumidor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Humano / Primario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Usuario que consulta el menú web, compra bebidas en mostrador, presenta su termo reusable y acumula sellos digitales en Monchis Rewards.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CU-03, CU-04, CU-05, CU-06.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Proveedor Campesino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Humano / Secundario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Representante de cooperativas de Michoacán, Oaxaca o Chiapas. Entrega café con ficha de altura y tueste y recibe órdenes de compra.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CU-07.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Google reCAPTCHA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Sistema / Externo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Servicio de verificación anti-bot de Google que valida los tokens criptográficos enviados en el formulario de login y registro.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Participa en CU-01.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Pasarela Bancaria / SPEI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Sistema / Externo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Entidad financiera que procesa cobros con tarjetas bancarias y autoriza transacciones interbancarias mediante clave de rastreo.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Participa en CU-04.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Servidor SMTP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Sistema / Externo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Servicio de mensajería electrónica que despacha alertas de caducidad de lotes (&lt;15 días) y avisos de eventos críticos en DLQ a gerencia.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Participa en CU-11, CU-12.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ACT-08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Orquestador RabbitMQ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Sistema / Interno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Componente autónomo (`SagaWorker`) que escucha colas AMQP para ejecutar reversas transaccionales y compensaciones ante roturas de stock.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Inicia y coordina CU-12.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Matriz de Interacción Actor vs. Caso de Uso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La siguiente matriz cruza a cada actor con los doce casos de uso del sistema, indicando si actúa como iniciador principal (</w:t>
      </w:r>
      <w:r>
        <w:rPr>
          <w:rFonts w:ascii="Segoe UI" w:hAnsi="Segoe UI"/>
          <w:b/>
          <w:color w:val="2D3748"/>
          <w:sz w:val="19"/>
        </w:rPr>
        <w:t>P</w:t>
      </w:r>
      <w:r>
        <w:rPr>
          <w:rFonts w:ascii="Segoe UI" w:hAnsi="Segoe UI"/>
          <w:color w:val="2D3748"/>
          <w:sz w:val="19"/>
        </w:rPr>
        <w:t>) o como participante secundario (</w:t>
      </w:r>
      <w:r>
        <w:rPr>
          <w:rFonts w:ascii="Segoe UI" w:hAnsi="Segoe UI"/>
          <w:b/>
          <w:color w:val="2D3748"/>
          <w:sz w:val="19"/>
        </w:rPr>
        <w:t>S</w:t>
      </w:r>
      <w:r>
        <w:rPr>
          <w:rFonts w:ascii="Segoe UI" w:hAnsi="Segoe UI"/>
          <w:color w:val="2D3748"/>
          <w:sz w:val="19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ACT-01 (Cajero)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ACT-02 (Admin)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ACT-03 (Cliente)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ACT-04 (Proveedor)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ACT-05 (reCAPTCHA)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ACT-06 (Banco)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ACT-07 (SMTP)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ACT-08 (RabbitMQ)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CU-01: Iniciar Sesión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CU-02: 2FA Administrador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CU-03: Venta en Mostrador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CU-04: Cobro Multipago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CU-05: Bono Ecológico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CU-06: Monchis Rewards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CU-07: Registro Lote PEPS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CU-08: Corte de Caja Z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CU-09: Analítica UTM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CU-10: Exportar Reportes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CU-11: Alertas Sanitarias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CU-12: Reversa Saga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5.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Modelar con exactitud a los actores en este nivel lógico evita un error común en la programación: creer que todos los casos de uso son iniciados por humanos sentados frente al teclado. Como advierte Cockburn (2000), los sistemas modernos orientados a eventos tienen casos de uso iniciados por temporizadores (*cron jobs*) o por colas de mensajería asíncrona. En Monchis Café, reconocer al `Orquestador RabbitMQ (ACT-08)` como actor formal nos permite programar las reversas de stock y los reembolsos sin depender de que un empleado tenga que hacer clic manual, protegiendo las cuentas del negocio incluso si el barista se distrae en barra.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6.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Cockburn, A. (2000).</w:t>
      </w:r>
      <w:r>
        <w:rPr>
          <w:rFonts w:ascii="Segoe UI" w:hAnsi="Segoe UI"/>
          <w:color w:val="2D3748"/>
          <w:sz w:val="19"/>
        </w:rPr>
        <w:t xml:space="preserve"> *Writing Effective Use Cases*. Addison-Wesley Professional.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Object Management Group. (2017).</w:t>
      </w:r>
      <w:r>
        <w:rPr>
          <w:rFonts w:ascii="Segoe UI" w:hAnsi="Segoe UI"/>
          <w:color w:val="2D3748"/>
          <w:sz w:val="19"/>
        </w:rPr>
        <w:t xml:space="preserve"> *OMG Unified Modeling Language (OMG UML), Version 2.5.1*. OMG Document Number: formal/2017-12-05. https://www.omg.org/spec/UML/2.5.1/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Pressman, R. S., &amp; Maxim, B. R. (2021).</w:t>
      </w:r>
      <w:r>
        <w:rPr>
          <w:rFonts w:ascii="Segoe UI" w:hAnsi="Segoe UI"/>
          <w:color w:val="2D3748"/>
          <w:sz w:val="19"/>
        </w:rPr>
        <w:t xml:space="preserve"> *Ingeniería de software: un enfoque práctico* (9.ª ed.). McGraw-Hill Interamericana.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