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Segoe UI" w:hAnsi="Segoe UI"/>
          <w:b/>
          <w:color w:val="1A365D"/>
          <w:sz w:val="36"/>
        </w:rPr>
        <w:t>Nivel 3: ALTO NIVEL — Foco: POR QUÉ</w:t>
      </w:r>
    </w:p>
    <w:p>
      <w:pPr>
        <w:spacing w:before="200" w:after="80"/>
      </w:pPr>
      <w:r>
        <w:rPr>
          <w:rFonts w:ascii="Segoe UI" w:hAnsi="Segoe UI"/>
          <w:b/>
          <w:color w:val="8C6B52"/>
          <w:sz w:val="28"/>
        </w:rPr>
        <w:t>Reglas del Negocio y Prioridades del Proyecto — Monchis Café</w:t>
      </w:r>
    </w:p>
    <w:p>
      <w:pPr>
        <w:spacing w:before="40" w:after="60" w:line="276" w:lineRule="auto"/>
      </w:pPr>
      <w:r>
        <w:rPr>
          <w:rFonts w:ascii="Segoe UI" w:hAnsi="Segoe UI"/>
          <w:color w:val="2D3748"/>
          <w:sz w:val="19"/>
        </w:rPr>
      </w:r>
      <w:r>
        <w:rPr>
          <w:rFonts w:ascii="Segoe UI" w:hAnsi="Segoe UI"/>
          <w:b/>
          <w:color w:val="2D3748"/>
          <w:sz w:val="19"/>
        </w:rPr>
        <w:t>Proyecto:</w:t>
      </w:r>
      <w:r>
        <w:rPr>
          <w:rFonts w:ascii="Segoe UI" w:hAnsi="Segoe UI"/>
          <w:color w:val="2D3748"/>
          <w:sz w:val="19"/>
        </w:rPr>
        <w:t xml:space="preserve"> Monchis Café (Gestión Web Segura para Cafetería Orgánica y Comercial)</w:t>
      </w:r>
    </w:p>
    <w:p>
      <w:pPr>
        <w:spacing w:before="40" w:after="60" w:line="276" w:lineRule="auto"/>
      </w:pPr>
      <w:r>
        <w:rPr>
          <w:rFonts w:ascii="Segoe UI" w:hAnsi="Segoe UI"/>
          <w:color w:val="2D3748"/>
          <w:sz w:val="19"/>
        </w:rPr>
      </w:r>
      <w:r>
        <w:rPr>
          <w:rFonts w:ascii="Segoe UI" w:hAnsi="Segoe UI"/>
          <w:b/>
          <w:color w:val="2D3748"/>
          <w:sz w:val="19"/>
        </w:rPr>
        <w:t>Equipo:</w:t>
      </w:r>
      <w:r>
        <w:rPr>
          <w:rFonts w:ascii="Segoe UI" w:hAnsi="Segoe UI"/>
          <w:color w:val="2D3748"/>
          <w:sz w:val="19"/>
        </w:rPr>
        <w:t xml:space="preserve"> Equipo 2</w:t>
      </w:r>
    </w:p>
    <w:p>
      <w:pPr>
        <w:spacing w:before="40" w:after="60" w:line="276" w:lineRule="auto"/>
      </w:pPr>
      <w:r>
        <w:rPr>
          <w:rFonts w:ascii="Segoe UI" w:hAnsi="Segoe UI"/>
          <w:color w:val="2D3748"/>
          <w:sz w:val="19"/>
        </w:rPr>
      </w:r>
      <w:r>
        <w:rPr>
          <w:rFonts w:ascii="Segoe UI" w:hAnsi="Segoe UI"/>
          <w:b/>
          <w:color w:val="2D3748"/>
          <w:sz w:val="19"/>
        </w:rPr>
        <w:t>Autor:</w:t>
      </w:r>
      <w:r>
        <w:rPr>
          <w:rFonts w:ascii="Segoe UI" w:hAnsi="Segoe UI"/>
          <w:color w:val="2D3748"/>
          <w:sz w:val="19"/>
        </w:rPr>
        <w:t xml:space="preserve"> Ernesto Hatuey Fierro Medina</w:t>
      </w:r>
    </w:p>
    <w:p>
      <w:pPr>
        <w:spacing w:before="40" w:after="60" w:line="276" w:lineRule="auto"/>
      </w:pPr>
      <w:r>
        <w:rPr>
          <w:rFonts w:ascii="Segoe UI" w:hAnsi="Segoe UI"/>
          <w:color w:val="2D3748"/>
          <w:sz w:val="19"/>
        </w:rPr>
      </w:r>
      <w:r>
        <w:rPr>
          <w:rFonts w:ascii="Segoe UI" w:hAnsi="Segoe UI"/>
          <w:b/>
          <w:color w:val="2D3748"/>
          <w:sz w:val="19"/>
        </w:rPr>
        <w:t>Asignatura:</w:t>
      </w:r>
      <w:r>
        <w:rPr>
          <w:rFonts w:ascii="Segoe UI" w:hAnsi="Segoe UI"/>
          <w:color w:val="2D3748"/>
          <w:sz w:val="19"/>
        </w:rPr>
        <w:t xml:space="preserve"> Proyecto Integrador de Desarrollo de Software</w:t>
      </w:r>
    </w:p>
    <w:p>
      <w:pPr>
        <w:spacing w:before="40" w:after="60" w:line="276" w:lineRule="auto"/>
      </w:pPr>
      <w:r>
        <w:rPr>
          <w:rFonts w:ascii="Segoe UI" w:hAnsi="Segoe UI"/>
          <w:color w:val="2D3748"/>
          <w:sz w:val="19"/>
        </w:rPr>
      </w:r>
      <w:r>
        <w:rPr>
          <w:rFonts w:ascii="Segoe UI" w:hAnsi="Segoe UI"/>
          <w:b/>
          <w:color w:val="2D3748"/>
          <w:sz w:val="19"/>
        </w:rPr>
        <w:t>Profesor:</w:t>
      </w:r>
      <w:r>
        <w:rPr>
          <w:rFonts w:ascii="Segoe UI" w:hAnsi="Segoe UI"/>
          <w:color w:val="2D3748"/>
          <w:sz w:val="19"/>
        </w:rPr>
        <w:t xml:space="preserve"> Dr. Gabriel Navarro Salcedo</w:t>
      </w:r>
    </w:p>
    <w:p>
      <w:pPr>
        <w:spacing w:before="40" w:after="60" w:line="276" w:lineRule="auto"/>
      </w:pPr>
      <w:r>
        <w:rPr>
          <w:rFonts w:ascii="Segoe UI" w:hAnsi="Segoe UI"/>
          <w:color w:val="2D3748"/>
          <w:sz w:val="19"/>
        </w:rPr>
      </w:r>
      <w:r>
        <w:rPr>
          <w:rFonts w:ascii="Segoe UI" w:hAnsi="Segoe UI"/>
          <w:b/>
          <w:color w:val="2D3748"/>
          <w:sz w:val="19"/>
        </w:rPr>
        <w:t>Institución:</w:t>
      </w:r>
      <w:r>
        <w:rPr>
          <w:rFonts w:ascii="Segoe UI" w:hAnsi="Segoe UI"/>
          <w:color w:val="2D3748"/>
          <w:sz w:val="19"/>
        </w:rPr>
        <w:t xml:space="preserve"> Centro Universitario de Tonalá — Universidad de Guadalajara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1. Fundamento Teórico y Conceptual</w:t>
      </w:r>
    </w:p>
    <w:p>
      <w:pPr>
        <w:spacing w:before="40" w:after="60" w:line="276" w:lineRule="auto"/>
      </w:pPr>
      <w:r>
        <w:rPr>
          <w:rFonts w:ascii="Segoe UI" w:hAnsi="Segoe UI"/>
          <w:color w:val="2D3748"/>
          <w:sz w:val="19"/>
        </w:rPr>
        <w:t>Una regla de negocio es una directiva, política o restricción formal que define o restringe algún aspecto de la estructura o el comportamiento de la empresa (Business Rules Group [BRG], 2000). Como destaca Ross (2003), las reglas de negocio existen con independencia del software; pertenecen a las políticas del dueño de la empresa y dictan cómo se debe cobrar, cómo se rota el producto y qué condiciones de seguridad deben cumplirse para proteger los activos del negocio. Si las reglas de negocio no se formalizan en el diseño de alto nivel, los programadores terminan codificando su propia interpretación en el backend, provocando vulnerabilidades lógicas y discrepancias contables (Pressman &amp; Maxim, 2021).</w:t>
      </w:r>
    </w:p>
    <w:p>
      <w:pPr>
        <w:spacing w:before="40" w:after="60" w:line="276" w:lineRule="auto"/>
      </w:pPr>
      <w:r>
        <w:rPr>
          <w:rFonts w:ascii="Segoe UI" w:hAnsi="Segoe UI"/>
          <w:color w:val="2D3748"/>
          <w:sz w:val="19"/>
        </w:rPr>
        <w:t xml:space="preserve">Dentro de la Matriz de Zachman (1987), la celda </w:t>
      </w:r>
      <w:r>
        <w:rPr>
          <w:rFonts w:ascii="Segoe UI" w:hAnsi="Segoe UI"/>
          <w:b/>
          <w:color w:val="2D3748"/>
          <w:sz w:val="19"/>
        </w:rPr>
        <w:t>Alto Nivel - Por qué</w:t>
      </w:r>
      <w:r>
        <w:rPr>
          <w:rFonts w:ascii="Segoe UI" w:hAnsi="Segoe UI"/>
          <w:color w:val="2D3748"/>
          <w:sz w:val="19"/>
        </w:rPr>
        <w:t xml:space="preserve"> vincula las políticas y motivaciones del negocio con el modelo lógico del sistema (*Business Rules &amp; Priorities / Designer's View*). En este nivel respondemos a la pregunta: *¿Cuáles son las reglas inquebrantables que gobiernan los casos de uso y qué prioridad tienen en el proyecto?* Para </w:t>
      </w:r>
      <w:r>
        <w:rPr>
          <w:rFonts w:ascii="Segoe UI" w:hAnsi="Segoe UI"/>
          <w:b/>
          <w:color w:val="2D3748"/>
          <w:sz w:val="19"/>
        </w:rPr>
        <w:t>Monchis Café</w:t>
      </w:r>
      <w:r>
        <w:rPr>
          <w:rFonts w:ascii="Segoe UI" w:hAnsi="Segoe UI"/>
          <w:color w:val="2D3748"/>
          <w:sz w:val="19"/>
        </w:rPr>
        <w:t>, estas reglas son las que garantizan que nadie manipule precios desde el navegador, que el café orgánico rote de forma fresca (PEPS), que el bono ecológico se aplique correctamente y que la caja no sufra fugas de efectivo.</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2. Catálogo Oficial de Reglas de Negocio (RN-01 a RN-08)</w:t>
      </w:r>
    </w:p>
    <w:p>
      <w:pPr>
        <w:spacing w:before="40" w:after="60" w:line="276" w:lineRule="auto"/>
      </w:pPr>
      <w:r>
        <w:rPr>
          <w:rFonts w:ascii="Segoe UI" w:hAnsi="Segoe UI"/>
          <w:color w:val="2D3748"/>
          <w:sz w:val="19"/>
        </w:rPr>
        <w:t>A continuación se detallan las ocho reglas de negocio formales de la cafetería, con su lógica de aplicación y su prioridad en la arquitectura:</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Pr>
          <w:p>
            <w:pPr>
              <w:spacing w:before="40" w:after="40" w:line="276" w:lineRule="auto"/>
            </w:pPr>
            <w:r>
              <w:rPr>
                <w:rFonts w:ascii="Consolas" w:hAnsi="Consolas"/>
                <w:color w:val="2D3748"/>
                <w:sz w:val="17"/>
              </w:rPr>
              <w:t>+=======================================================================================+</w:t>
              <w:br/>
              <w:t>|                          REGLAS DE NEGOCIO — MONCHIS CAFÉ                             |</w:t>
              <w:br/>
              <w:t>+=======================================================================================+</w:t>
              <w:br/>
              <w:t>| RN-01: Integridad de Precios Oficiales (Servidor)  | RN-05: 2FA Obligatorio para Admin|</w:t>
              <w:br/>
              <w:t>| RN-02: Rotación Estricta de Inventario PEPS        | RN-06: Transacción Compensatoria |</w:t>
              <w:br/>
              <w:t>| RN-03: Bonificación Ecológica ODS 12 por Termo     | RN-07: Límite Anti-Fuerza Bruta  |</w:t>
              <w:br/>
              <w:t>| RN-04: Límites de Lealtad en Monchis Rewards       | RN-08: Arqueo Ciego en Corte Z   |</w:t>
              <w:br/>
              <w:t>+=======================================================================================+</w:t>
            </w:r>
          </w:p>
        </w:tc>
      </w:tr>
    </w:tbl>
    <w:p>
      <w:pPr>
        <w:spacing w:after="80"/>
      </w:pPr>
    </w:p>
    <w:p>
      <w:pPr>
        <w:spacing w:before="80" w:after="80"/>
      </w:pPr>
      <w:r>
        <w:rPr>
          <w:color w:val="CBD5E1"/>
          <w:sz w:val="14"/>
        </w:rPr>
        <w:t>____________________________________________________________________</w:t>
      </w:r>
    </w:p>
    <w:p>
      <w:pPr>
        <w:spacing w:before="120" w:after="40"/>
      </w:pPr>
      <w:r>
        <w:rPr>
          <w:rFonts w:ascii="Segoe UI" w:hAnsi="Segoe UI"/>
          <w:b/>
          <w:color w:val="2D3748"/>
          <w:sz w:val="20"/>
        </w:rPr>
        <w:t>RN-01: Integridad de Precios Oficiales de Catálogo</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El cálculo de los subtotales, impuestos y totales de cualquier venta debe realizarse </w:t>
      </w:r>
      <w:r>
        <w:rPr>
          <w:rFonts w:ascii="Segoe UI" w:hAnsi="Segoe UI"/>
          <w:b/>
          <w:color w:val="2D3748"/>
          <w:sz w:val="19"/>
        </w:rPr>
        <w:t>estrictamente en el servidor</w:t>
      </w:r>
      <w:r>
        <w:rPr>
          <w:rFonts w:ascii="Segoe UI" w:hAnsi="Segoe UI"/>
          <w:color w:val="2D3748"/>
          <w:sz w:val="19"/>
        </w:rPr>
        <w:t xml:space="preserve"> consultando la base de datos oficial.</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Se prohíbe taxativamente aceptar precios unitarios enviados en el cuerpo JSON de peticiones del frontend. Si el cliente web envía una alteración de precio, el backend la sobreescribe con el precio vigente en `Product.precio`.</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CRÍTICA (P1)</w:t>
      </w:r>
      <w:r>
        <w:rPr>
          <w:rFonts w:ascii="Segoe UI" w:hAnsi="Segoe UI"/>
          <w:color w:val="2D3748"/>
          <w:sz w:val="19"/>
        </w:rPr>
        <w:t>. Evita fraudes de alteración de precios en el mostrador.</w:t>
      </w:r>
    </w:p>
    <w:p>
      <w:pPr>
        <w:spacing w:before="120" w:after="40"/>
      </w:pPr>
      <w:r>
        <w:rPr>
          <w:rFonts w:ascii="Segoe UI" w:hAnsi="Segoe UI"/>
          <w:b/>
          <w:color w:val="2D3748"/>
          <w:sz w:val="20"/>
        </w:rPr>
        <w:t>RN-02: Rotación de Inventarios PEPS (Primeras Entradas, Primeras Salidas)</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El consumo de insumos de café orgánico y alimentos perecederos debe descontarse automáticamente del </w:t>
      </w:r>
      <w:r>
        <w:rPr>
          <w:rFonts w:ascii="Segoe UI" w:hAnsi="Segoe UI"/>
          <w:b/>
          <w:color w:val="2D3748"/>
          <w:sz w:val="19"/>
        </w:rPr>
        <w:t>lote con fecha de ingreso o tostado más antigua</w:t>
      </w:r>
      <w:r>
        <w:rPr>
          <w:rFonts w:ascii="Segoe UI" w:hAnsi="Segoe UI"/>
          <w:color w:val="2D3748"/>
          <w:sz w:val="19"/>
        </w:rPr>
        <w:t xml:space="preserve"> que aún cuente con existencias positivas.</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Ningún barista o cajero puede elegir manualmente qué lote descontar en el POS; el sistema ejecuta una consulta ordenada por `fechaIngreso ASC` en `Batch`.</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ALTA (P2)</w:t>
      </w:r>
      <w:r>
        <w:rPr>
          <w:rFonts w:ascii="Segoe UI" w:hAnsi="Segoe UI"/>
          <w:color w:val="2D3748"/>
          <w:sz w:val="19"/>
        </w:rPr>
        <w:t>. Cumple con la Meta 12.3 de los ODS (reducción de mermas).</w:t>
      </w:r>
    </w:p>
    <w:p>
      <w:pPr>
        <w:spacing w:before="120" w:after="40"/>
      </w:pPr>
      <w:r>
        <w:rPr>
          <w:rFonts w:ascii="Segoe UI" w:hAnsi="Segoe UI"/>
          <w:b/>
          <w:color w:val="2D3748"/>
          <w:sz w:val="20"/>
        </w:rPr>
        <w:t>RN-03: Bonificación Ecológica por Recipiente Reusable (ODS 12)</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El descuento de </w:t>
      </w:r>
      <w:r>
        <w:rPr>
          <w:rFonts w:ascii="Segoe UI" w:hAnsi="Segoe UI"/>
          <w:b/>
          <w:color w:val="2D3748"/>
          <w:sz w:val="19"/>
        </w:rPr>
        <w:t>\$5.00 MXN</w:t>
      </w:r>
      <w:r>
        <w:rPr>
          <w:rFonts w:ascii="Segoe UI" w:hAnsi="Segoe UI"/>
          <w:color w:val="2D3748"/>
          <w:sz w:val="19"/>
        </w:rPr>
        <w:t xml:space="preserve"> o la asignación de sellos dobles solo es aplicable cuando el cliente presenta físicamente una taza o termo reutilizable en la barra de atención.</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La activación requiere que el cajero marque la casilla explícita en la orden. El sistema registra esta condición en la tabla `Order` para auditar el ahorro de vasos plásticos.</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ALTA (P2)</w:t>
      </w:r>
      <w:r>
        <w:rPr>
          <w:rFonts w:ascii="Segoe UI" w:hAnsi="Segoe UI"/>
          <w:color w:val="2D3748"/>
          <w:sz w:val="19"/>
        </w:rPr>
        <w:t>. Eje rector de sostenibilidad (Meta 12.5 de los ODS).</w:t>
      </w:r>
    </w:p>
    <w:p>
      <w:pPr>
        <w:spacing w:before="120" w:after="40"/>
      </w:pPr>
      <w:r>
        <w:rPr>
          <w:rFonts w:ascii="Segoe UI" w:hAnsi="Segoe UI"/>
          <w:b/>
          <w:color w:val="2D3748"/>
          <w:sz w:val="20"/>
        </w:rPr>
        <w:t>RN-04: Límites y Canje en "Monchis Rewards"</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Cada bebida preparada pagada otorga exactamente </w:t>
      </w:r>
      <w:r>
        <w:rPr>
          <w:rFonts w:ascii="Segoe UI" w:hAnsi="Segoe UI"/>
          <w:b/>
          <w:color w:val="2D3748"/>
          <w:sz w:val="19"/>
        </w:rPr>
        <w:t>1 sello digital</w:t>
      </w:r>
      <w:r>
        <w:rPr>
          <w:rFonts w:ascii="Segoe UI" w:hAnsi="Segoe UI"/>
          <w:color w:val="2D3748"/>
          <w:sz w:val="19"/>
        </w:rPr>
        <w:t xml:space="preserve">. Al acumular 7 sellos verificados, el sistema otorga la </w:t>
      </w:r>
      <w:r>
        <w:rPr>
          <w:rFonts w:ascii="Segoe UI" w:hAnsi="Segoe UI"/>
          <w:b/>
          <w:color w:val="2D3748"/>
          <w:sz w:val="19"/>
        </w:rPr>
        <w:t>8va bebida de cortesía (\$0.00)</w:t>
      </w:r>
      <w:r>
        <w:rPr>
          <w:rFonts w:ascii="Segoe UI" w:hAnsi="Segoe UI"/>
          <w:color w:val="2D3748"/>
          <w:sz w:val="19"/>
        </w:rPr>
        <w:t>.</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Los sellos son intransferibles entre cuentas de clientes. El sistema no permite acumular sellos en compras donde la bebida ya fue bonificada como cortesía.</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MEDIA (P3)</w:t>
      </w:r>
      <w:r>
        <w:rPr>
          <w:rFonts w:ascii="Segoe UI" w:hAnsi="Segoe UI"/>
          <w:color w:val="2D3748"/>
          <w:sz w:val="19"/>
        </w:rPr>
        <w:t>. Fidelización y retención de clientela.</w:t>
      </w:r>
    </w:p>
    <w:p>
      <w:pPr>
        <w:spacing w:before="120" w:after="40"/>
      </w:pPr>
      <w:r>
        <w:rPr>
          <w:rFonts w:ascii="Segoe UI" w:hAnsi="Segoe UI"/>
          <w:b/>
          <w:color w:val="2D3748"/>
          <w:sz w:val="20"/>
        </w:rPr>
        <w:t>RN-05: Segundo Factor de Autenticación (2FA / TOTP) para Administrador</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Toda cuenta con perfil `ADMIN` debe ingresar obligatoriamente un código criptográfico de 6 dígitos (RFC 6238) para emitir el Access Token final.</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La ventana de tolerancia del código TOTP es de $\pm 30$ segundos. No se admiten bypasses ni tokens de prueba en ambiente de producción.</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CRÍTICA (P1)</w:t>
      </w:r>
      <w:r>
        <w:rPr>
          <w:rFonts w:ascii="Segoe UI" w:hAnsi="Segoe UI"/>
          <w:color w:val="2D3748"/>
          <w:sz w:val="19"/>
        </w:rPr>
        <w:t>. Seguridad patrimonial y protección de datos gerenciales.</w:t>
      </w:r>
    </w:p>
    <w:p>
      <w:pPr>
        <w:spacing w:before="120" w:after="40"/>
      </w:pPr>
      <w:r>
        <w:rPr>
          <w:rFonts w:ascii="Segoe UI" w:hAnsi="Segoe UI"/>
          <w:b/>
          <w:color w:val="2D3748"/>
          <w:sz w:val="20"/>
        </w:rPr>
        <w:t>RN-06: Compensación Transaccional Automática (Saga de Reversa)</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Si una orden es cobrada pero no puede prepararse debido a un desabasto inesperado del grano orgánico, el sistema debe orquestar automáticamente la reversa y el reembolso íntegro al cliente.</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El evento se procesa mediante RabbitMQ (`cafeteria.events`). Si falla la compensación tras 3 intentos, se desvía a la `orders.dlq` con alerta SMTP inmediata.</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ALTA (P2)</w:t>
      </w:r>
      <w:r>
        <w:rPr>
          <w:rFonts w:ascii="Segoe UI" w:hAnsi="Segoe UI"/>
          <w:color w:val="2D3748"/>
          <w:sz w:val="19"/>
        </w:rPr>
        <w:t>. Consistencia transaccional y satisfacción del cliente.</w:t>
      </w:r>
    </w:p>
    <w:p>
      <w:pPr>
        <w:spacing w:before="120" w:after="40"/>
      </w:pPr>
      <w:r>
        <w:rPr>
          <w:rFonts w:ascii="Segoe UI" w:hAnsi="Segoe UI"/>
          <w:b/>
          <w:color w:val="2D3748"/>
          <w:sz w:val="20"/>
        </w:rPr>
        <w:t>RN-07: Mitigación de Fuerza Bruta en Autenticación</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Ninguna dirección IP puede emitir más de </w:t>
      </w:r>
      <w:r>
        <w:rPr>
          <w:rFonts w:ascii="Segoe UI" w:hAnsi="Segoe UI"/>
          <w:b/>
          <w:color w:val="2D3748"/>
          <w:sz w:val="19"/>
        </w:rPr>
        <w:t>5 intentos fallidos consecutivos de acceso</w:t>
      </w:r>
      <w:r>
        <w:rPr>
          <w:rFonts w:ascii="Segoe UI" w:hAnsi="Segoe UI"/>
          <w:color w:val="2D3748"/>
          <w:sz w:val="19"/>
        </w:rPr>
        <w:t xml:space="preserve"> en un periodo de 15 minutos sin ser bloqueada temporalmente.</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Control de tasa (*Rate Limiting*) en memoria/Redis en las rutas `/api/auth/login` y `/api/auth/refresh`.</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CRÍTICA (P1)</w:t>
      </w:r>
      <w:r>
        <w:rPr>
          <w:rFonts w:ascii="Segoe UI" w:hAnsi="Segoe UI"/>
          <w:color w:val="2D3748"/>
          <w:sz w:val="19"/>
        </w:rPr>
        <w:t>. Protección contra ataques de diccionario y bots.</w:t>
      </w:r>
    </w:p>
    <w:p>
      <w:pPr>
        <w:spacing w:before="120" w:after="40"/>
      </w:pPr>
      <w:r>
        <w:rPr>
          <w:rFonts w:ascii="Segoe UI" w:hAnsi="Segoe UI"/>
          <w:b/>
          <w:color w:val="2D3748"/>
          <w:sz w:val="20"/>
        </w:rPr>
        <w:t>RN-08: Arqueo Ciego en Corte de Caja Diario</w:t>
      </w:r>
    </w:p>
    <w:p>
      <w:pPr>
        <w:pStyle w:val="ListBullet"/>
        <w:spacing w:before="20" w:after="40" w:line="276" w:lineRule="auto"/>
      </w:pPr>
      <w:r>
        <w:rPr>
          <w:rFonts w:ascii="Segoe UI" w:hAnsi="Segoe UI"/>
          <w:color w:val="2D3748"/>
          <w:sz w:val="19"/>
        </w:rPr>
      </w:r>
      <w:r>
        <w:rPr>
          <w:rFonts w:ascii="Segoe UI" w:hAnsi="Segoe UI"/>
          <w:b/>
          <w:color w:val="2D3748"/>
          <w:sz w:val="19"/>
        </w:rPr>
        <w:t>Declaración de la Regla:</w:t>
      </w:r>
      <w:r>
        <w:rPr>
          <w:rFonts w:ascii="Segoe UI" w:hAnsi="Segoe UI"/>
          <w:color w:val="2D3748"/>
          <w:sz w:val="19"/>
        </w:rPr>
        <w:t xml:space="preserve"> Al momento del corte de turno (*Reporte Z*), el cajero debe declarar físicamente el dinero en efectivo que tiene en caja </w:t>
      </w:r>
      <w:r>
        <w:rPr>
          <w:rFonts w:ascii="Segoe UI" w:hAnsi="Segoe UI"/>
          <w:b/>
          <w:color w:val="2D3748"/>
          <w:sz w:val="19"/>
        </w:rPr>
        <w:t>antes</w:t>
      </w:r>
      <w:r>
        <w:rPr>
          <w:rFonts w:ascii="Segoe UI" w:hAnsi="Segoe UI"/>
          <w:color w:val="2D3748"/>
          <w:sz w:val="19"/>
        </w:rPr>
        <w:t xml:space="preserve"> de que el sistema le revele el monto esperado según las ventas registradas.</w:t>
      </w:r>
    </w:p>
    <w:p>
      <w:pPr>
        <w:pStyle w:val="ListBullet"/>
        <w:spacing w:before="20" w:after="40" w:line="276" w:lineRule="auto"/>
      </w:pPr>
      <w:r>
        <w:rPr>
          <w:rFonts w:ascii="Segoe UI" w:hAnsi="Segoe UI"/>
          <w:color w:val="2D3748"/>
          <w:sz w:val="19"/>
        </w:rPr>
      </w:r>
      <w:r>
        <w:rPr>
          <w:rFonts w:ascii="Segoe UI" w:hAnsi="Segoe UI"/>
          <w:b/>
          <w:color w:val="2D3748"/>
          <w:sz w:val="19"/>
        </w:rPr>
        <w:t>Restricción Técnica:</w:t>
      </w:r>
      <w:r>
        <w:rPr>
          <w:rFonts w:ascii="Segoe UI" w:hAnsi="Segoe UI"/>
          <w:color w:val="2D3748"/>
          <w:sz w:val="19"/>
        </w:rPr>
        <w:t xml:space="preserve"> El sistema no muestra el saldo teórico acumulado en la pantalla de arqueo hasta que el cajero confirma el conteo de billetes y monedas.</w:t>
      </w:r>
    </w:p>
    <w:p>
      <w:pPr>
        <w:pStyle w:val="ListBullet"/>
        <w:spacing w:before="20" w:after="40" w:line="276" w:lineRule="auto"/>
      </w:pPr>
      <w:r>
        <w:rPr>
          <w:rFonts w:ascii="Segoe UI" w:hAnsi="Segoe UI"/>
          <w:color w:val="2D3748"/>
          <w:sz w:val="19"/>
        </w:rPr>
      </w:r>
      <w:r>
        <w:rPr>
          <w:rFonts w:ascii="Segoe UI" w:hAnsi="Segoe UI"/>
          <w:b/>
          <w:color w:val="2D3748"/>
          <w:sz w:val="19"/>
        </w:rPr>
        <w:t>Prioridad en el Proyecto:</w:t>
      </w:r>
      <w:r>
        <w:rPr>
          <w:rFonts w:ascii="Segoe UI" w:hAnsi="Segoe UI"/>
          <w:color w:val="2D3748"/>
          <w:sz w:val="19"/>
        </w:rPr>
        <w:t xml:space="preserve"> </w:t>
      </w:r>
      <w:r>
        <w:rPr>
          <w:rFonts w:ascii="Segoe UI" w:hAnsi="Segoe UI"/>
          <w:b/>
          <w:color w:val="2D3748"/>
          <w:sz w:val="19"/>
        </w:rPr>
        <w:t>ALTA (P2)</w:t>
      </w:r>
      <w:r>
        <w:rPr>
          <w:rFonts w:ascii="Segoe UI" w:hAnsi="Segoe UI"/>
          <w:color w:val="2D3748"/>
          <w:sz w:val="19"/>
        </w:rPr>
        <w:t>. Prevención de robos hormiga y cuadre transparente de caja.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3. Matriz de Prioridades de Implementación en el Proyecto</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Nivel de Prioridad</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Reglas de Negocio Asociadas</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Criterio de Decisión Arquitectónica</w:t>
            </w:r>
          </w:p>
        </w:tc>
        <w:tc>
          <w:tcPr>
            <w:tcW w:type="dxa" w:w="2340"/>
            <w:tcMar>
              <w:top w:w="100" w:type="dxa"/>
              <w:bottom w:w="100" w:type="dxa"/>
              <w:left w:w="120" w:type="dxa"/>
              <w:right w:w="120" w:type="dxa"/>
            </w:tcMar>
            <w:shd w:fill="1A365D"/>
          </w:tcPr>
          <w:p>
            <w:pPr>
              <w:spacing w:before="60" w:after="60"/>
            </w:pPr>
            <w:r>
              <w:rPr>
                <w:rFonts w:ascii="Segoe UI" w:hAnsi="Segoe UI"/>
                <w:b/>
                <w:color w:val="FFFFFF"/>
                <w:sz w:val="18"/>
              </w:rPr>
              <w:t>Momento de Entrega</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P1 — CRÍTICA&lt;br&gt;(Bloqueante para Producción)</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RN-01 (Precios Servidor)&lt;br&gt;RN-05 (2FA Admin)&lt;br&gt;RN-07 (Rate Limiting)</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Sin estas reglas el sistema es vulnerable a robos, alteración de ventas y ataques cibernéticos.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Sprint 1 (Semana 1-4)</w:t>
            </w:r>
          </w:p>
        </w:tc>
      </w:tr>
      <w:tr>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P2 — ALTA&lt;br&gt;(Operación Sustentable y Caja)</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RN-02 (Rotación PEPS)&lt;br&gt;RN-03 (Bono Ecológico)&lt;br&gt;RN-06 (Reversa Saga)&lt;br&gt;RN-08 (Arqueo Ciego)</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Son las reglas que garantizan la rentabilidad, el control de mermas y la diferenciación ODS 12.</w:t>
            </w:r>
          </w:p>
        </w:tc>
        <w:tc>
          <w:tcPr>
            <w:tcW w:type="dxa" w:w="2340"/>
            <w:tcMar>
              <w:top w:w="100" w:type="dxa"/>
              <w:bottom w:w="100" w:type="dxa"/>
              <w:left w:w="120" w:type="dxa"/>
              <w:right w:w="120" w:type="dxa"/>
            </w:tcMar>
            <w:shd w:fill="F7FAFC"/>
          </w:tcPr>
          <w:p>
            <w:pPr>
              <w:spacing w:before="60" w:after="60"/>
            </w:pPr>
            <w:r>
              <w:rPr>
                <w:rFonts w:ascii="Segoe UI" w:hAnsi="Segoe UI"/>
                <w:b w:val="0"/>
                <w:color w:val="2D3748"/>
                <w:sz w:val="17"/>
              </w:rPr>
              <w:t>Sprint 2 (Semana 5-8)</w:t>
            </w:r>
          </w:p>
        </w:tc>
      </w:tr>
      <w:tr>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P3 — MEDIA&lt;br&gt;(Fidelización y Marketing)</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RN-04 (Monchis Rewards)</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Incrementa la retención y recurrencia de compra en la sucursal física.</w:t>
            </w:r>
          </w:p>
        </w:tc>
        <w:tc>
          <w:tcPr>
            <w:tcW w:type="dxa" w:w="2340"/>
            <w:tcMar>
              <w:top w:w="100" w:type="dxa"/>
              <w:bottom w:w="100" w:type="dxa"/>
              <w:left w:w="120" w:type="dxa"/>
              <w:right w:w="120" w:type="dxa"/>
            </w:tcMar>
            <w:shd w:fill="FFFFFF"/>
          </w:tcPr>
          <w:p>
            <w:pPr>
              <w:spacing w:before="60" w:after="60"/>
            </w:pPr>
            <w:r>
              <w:rPr>
                <w:rFonts w:ascii="Segoe UI" w:hAnsi="Segoe UI"/>
                <w:b w:val="0"/>
                <w:color w:val="2D3748"/>
                <w:sz w:val="17"/>
              </w:rPr>
              <w:t>Sprint 3 (Semana 9-12)</w:t>
            </w:r>
          </w:p>
        </w:tc>
      </w:tr>
    </w:tbl>
    <w:p>
      <w:pPr>
        <w:spacing w:after="80"/>
      </w:pP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4. Justificación Práctica en el Proyecto</w:t>
      </w:r>
    </w:p>
    <w:p>
      <w:pPr>
        <w:spacing w:before="40" w:after="60" w:line="276" w:lineRule="auto"/>
      </w:pPr>
      <w:r>
        <w:rPr>
          <w:rFonts w:ascii="Segoe UI" w:hAnsi="Segoe UI"/>
          <w:color w:val="2D3748"/>
          <w:sz w:val="19"/>
        </w:rPr>
        <w:t>Formalizar las reglas de negocio en la Matriz de Zachman asegura que las políticas de la cafetería queden plasmadas en código ejecutable y no se queden en un reglamento pegado en la pared que nadie lee. Como señala Ross (2003), una regla de negocio que no se automatiza es una regla que tarde o temprano se rompe. En Monchis Café, blindar el cálculo de precios en el backend (RN-01) y obligar al arqueo ciego (RN-08) garantiza que los dueños duerman tranquilos sabiendo que cada peso que ingresa a la cafetería está respaldado por el sistema.</w:t>
      </w:r>
    </w:p>
    <w:p>
      <w:pPr>
        <w:spacing w:before="80" w:after="80"/>
      </w:pPr>
      <w:r>
        <w:rPr>
          <w:color w:val="CBD5E1"/>
          <w:sz w:val="14"/>
        </w:rPr>
        <w:t>____________________________________________________________________</w:t>
      </w:r>
    </w:p>
    <w:p>
      <w:pPr>
        <w:spacing w:before="160" w:after="60"/>
      </w:pPr>
      <w:r>
        <w:rPr>
          <w:rFonts w:ascii="Segoe UI" w:hAnsi="Segoe UI"/>
          <w:b/>
          <w:color w:val="1A365D"/>
          <w:sz w:val="23"/>
        </w:rPr>
        <w:t>5. Referencias Bibliográficas</w:t>
      </w:r>
    </w:p>
    <w:p>
      <w:pPr>
        <w:spacing w:before="40" w:after="40" w:line="276" w:lineRule="auto"/>
      </w:pPr>
      <w:r>
        <w:rPr>
          <w:rFonts w:ascii="Segoe UI" w:hAnsi="Segoe UI"/>
          <w:b/>
          <w:color w:val="1A365D"/>
          <w:sz w:val="19"/>
        </w:rPr>
        <w:t xml:space="preserve">1. </w:t>
      </w:r>
      <w:r>
        <w:rPr>
          <w:rFonts w:ascii="Segoe UI" w:hAnsi="Segoe UI"/>
          <w:color w:val="2D3748"/>
          <w:sz w:val="19"/>
        </w:rPr>
      </w:r>
      <w:r>
        <w:rPr>
          <w:rFonts w:ascii="Segoe UI" w:hAnsi="Segoe UI"/>
          <w:b/>
          <w:color w:val="2D3748"/>
          <w:sz w:val="19"/>
        </w:rPr>
        <w:t>Business Rules Group. (2000).</w:t>
      </w:r>
      <w:r>
        <w:rPr>
          <w:rFonts w:ascii="Segoe UI" w:hAnsi="Segoe UI"/>
          <w:color w:val="2D3748"/>
          <w:sz w:val="19"/>
        </w:rPr>
        <w:t xml:space="preserve"> *Defining Business Rules ~ What Are They Really?* (4.ª ed.). BRG. http://www.businessrulesgroup.org</w:t>
      </w:r>
    </w:p>
    <w:p>
      <w:pPr>
        <w:spacing w:before="40" w:after="40" w:line="276" w:lineRule="auto"/>
      </w:pPr>
      <w:r>
        <w:rPr>
          <w:rFonts w:ascii="Segoe UI" w:hAnsi="Segoe UI"/>
          <w:b/>
          <w:color w:val="1A365D"/>
          <w:sz w:val="19"/>
        </w:rPr>
        <w:t xml:space="preserve">2. </w:t>
      </w:r>
      <w:r>
        <w:rPr>
          <w:rFonts w:ascii="Segoe UI" w:hAnsi="Segoe UI"/>
          <w:color w:val="2D3748"/>
          <w:sz w:val="19"/>
        </w:rPr>
      </w:r>
      <w:r>
        <w:rPr>
          <w:rFonts w:ascii="Segoe UI" w:hAnsi="Segoe UI"/>
          <w:b/>
          <w:color w:val="2D3748"/>
          <w:sz w:val="19"/>
        </w:rPr>
        <w:t>Pressman, R. S., &amp; Maxim, B. R. (2021).</w:t>
      </w:r>
      <w:r>
        <w:rPr>
          <w:rFonts w:ascii="Segoe UI" w:hAnsi="Segoe UI"/>
          <w:color w:val="2D3748"/>
          <w:sz w:val="19"/>
        </w:rPr>
        <w:t xml:space="preserve"> *Ingeniería de software: un enfoque práctico* (9.ª ed.). McGraw-Hill Interamericana.</w:t>
      </w:r>
    </w:p>
    <w:p>
      <w:pPr>
        <w:spacing w:before="40" w:after="40" w:line="276" w:lineRule="auto"/>
      </w:pPr>
      <w:r>
        <w:rPr>
          <w:rFonts w:ascii="Segoe UI" w:hAnsi="Segoe UI"/>
          <w:b/>
          <w:color w:val="1A365D"/>
          <w:sz w:val="19"/>
        </w:rPr>
        <w:t xml:space="preserve">3. </w:t>
      </w:r>
      <w:r>
        <w:rPr>
          <w:rFonts w:ascii="Segoe UI" w:hAnsi="Segoe UI"/>
          <w:color w:val="2D3748"/>
          <w:sz w:val="19"/>
        </w:rPr>
      </w:r>
      <w:r>
        <w:rPr>
          <w:rFonts w:ascii="Segoe UI" w:hAnsi="Segoe UI"/>
          <w:b/>
          <w:color w:val="2D3748"/>
          <w:sz w:val="19"/>
        </w:rPr>
        <w:t>Ross, R. G. (2003).</w:t>
      </w:r>
      <w:r>
        <w:rPr>
          <w:rFonts w:ascii="Segoe UI" w:hAnsi="Segoe UI"/>
          <w:color w:val="2D3748"/>
          <w:sz w:val="19"/>
        </w:rPr>
        <w:t xml:space="preserve"> *Principles of the Business Rule Approach*. Addison-Wesley Professional.</w:t>
      </w:r>
    </w:p>
    <w:p>
      <w:pPr>
        <w:spacing w:before="40" w:after="40" w:line="276" w:lineRule="auto"/>
      </w:pPr>
      <w:r>
        <w:rPr>
          <w:rFonts w:ascii="Segoe UI" w:hAnsi="Segoe UI"/>
          <w:b/>
          <w:color w:val="1A365D"/>
          <w:sz w:val="19"/>
        </w:rPr>
        <w:t xml:space="preserve">4. </w:t>
      </w:r>
      <w:r>
        <w:rPr>
          <w:rFonts w:ascii="Segoe UI" w:hAnsi="Segoe UI"/>
          <w:color w:val="2D3748"/>
          <w:sz w:val="19"/>
        </w:rPr>
      </w:r>
      <w:r>
        <w:rPr>
          <w:rFonts w:ascii="Segoe UI" w:hAnsi="Segoe UI"/>
          <w:b/>
          <w:color w:val="2D3748"/>
          <w:sz w:val="19"/>
        </w:rPr>
        <w:t>Zachman, J. A. (1987).</w:t>
      </w:r>
      <w:r>
        <w:rPr>
          <w:rFonts w:ascii="Segoe UI" w:hAnsi="Segoe UI"/>
          <w:color w:val="2D3748"/>
          <w:sz w:val="19"/>
        </w:rPr>
        <w:t xml:space="preserve"> A framework for information systems architecture. *IBM Systems Journal*, 26(3), 276–292. https://doi.org/10.1147/sj.263.0276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