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egoe UI" w:hAnsi="Segoe UI"/>
          <w:b/>
          <w:color w:val="1A365D"/>
          <w:sz w:val="36"/>
        </w:rPr>
        <w:t>Nivel 4: DETALLE — Foco: CÓMO</w:t>
      </w:r>
    </w:p>
    <w:p>
      <w:pPr>
        <w:spacing w:before="200" w:after="80"/>
      </w:pPr>
      <w:r>
        <w:rPr>
          <w:rFonts w:ascii="Segoe UI" w:hAnsi="Segoe UI"/>
          <w:b/>
          <w:color w:val="8C6B52"/>
          <w:sz w:val="28"/>
        </w:rPr>
        <w:t>Especificación de Casos de Uso y Prototipo de Navegación — Monchis Café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Proyecto:</w:t>
      </w:r>
      <w:r>
        <w:rPr>
          <w:rFonts w:ascii="Segoe UI" w:hAnsi="Segoe UI"/>
          <w:color w:val="2D3748"/>
          <w:sz w:val="19"/>
        </w:rPr>
        <w:t xml:space="preserve"> Monchis Café (Gestión Web Segura para Cafetería Orgánica y Comercial)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Equipo:</w:t>
      </w:r>
      <w:r>
        <w:rPr>
          <w:rFonts w:ascii="Segoe UI" w:hAnsi="Segoe UI"/>
          <w:color w:val="2D3748"/>
          <w:sz w:val="19"/>
        </w:rPr>
        <w:t xml:space="preserve"> Equipo 2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Autor:</w:t>
      </w:r>
      <w:r>
        <w:rPr>
          <w:rFonts w:ascii="Segoe UI" w:hAnsi="Segoe UI"/>
          <w:color w:val="2D3748"/>
          <w:sz w:val="19"/>
        </w:rPr>
        <w:t xml:space="preserve"> Ernesto Hatuey Fierro Medina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Asignatura:</w:t>
      </w:r>
      <w:r>
        <w:rPr>
          <w:rFonts w:ascii="Segoe UI" w:hAnsi="Segoe UI"/>
          <w:color w:val="2D3748"/>
          <w:sz w:val="19"/>
        </w:rPr>
        <w:t xml:space="preserve"> Proyecto Integrador de Desarrollo de Software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Profesor:</w:t>
      </w:r>
      <w:r>
        <w:rPr>
          <w:rFonts w:ascii="Segoe UI" w:hAnsi="Segoe UI"/>
          <w:color w:val="2D3748"/>
          <w:sz w:val="19"/>
        </w:rPr>
        <w:t xml:space="preserve"> Dr. Gabriel Navarro Salcedo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Institución:</w:t>
      </w:r>
      <w:r>
        <w:rPr>
          <w:rFonts w:ascii="Segoe UI" w:hAnsi="Segoe UI"/>
          <w:color w:val="2D3748"/>
          <w:sz w:val="19"/>
        </w:rPr>
        <w:t xml:space="preserve"> Centro Universitario de Tonalá — Universidad de Guadalajara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1. Fundamento Teórico y Conceptual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En la ingeniería web y el diseño de aplicaciones interactivas, la arquitectura de navegación describe la estructura y las reglas lógicas que permiten al usuario moverse a través de las diferentes pantallas y estados del sistema sin desorientarse ni acceder a secciones no autorizadas (Garzotto et al., 1993). Como explican Pressman y Maxim (2021), el diseño de navegación no se reduce a poner enlaces en una barra superior; exige modelar los grafos de navegación (*site maps*), las rutas públicas indexables para posicionamiento en motores de búsqueda (SEO) y los guardianes de navegación (*Navigation Guards*) que interceptan y protegen las rutas privadas mediante tokens criptográficos.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Dentro de la Matriz de Zachman (1987), la celda </w:t>
      </w:r>
      <w:r>
        <w:rPr>
          <w:rFonts w:ascii="Segoe UI" w:hAnsi="Segoe UI"/>
          <w:b/>
          <w:color w:val="2D3748"/>
          <w:sz w:val="19"/>
        </w:rPr>
        <w:t>Detalle - Cómo</w:t>
      </w:r>
      <w:r>
        <w:rPr>
          <w:rFonts w:ascii="Segoe UI" w:hAnsi="Segoe UI"/>
          <w:color w:val="2D3748"/>
          <w:sz w:val="19"/>
        </w:rPr>
        <w:t xml:space="preserve"> aborda la especificación física y navegacional (*Physical Process &amp; Navigation Model / Builder's View*). En este nivel del constructor, traducimos la lógica de los casos de uso en el mapa exacto de transiciones de pantalla implementadas en </w:t>
      </w:r>
      <w:r>
        <w:rPr>
          <w:rFonts w:ascii="Segoe UI" w:hAnsi="Segoe UI"/>
          <w:b/>
          <w:color w:val="2D3748"/>
          <w:sz w:val="19"/>
        </w:rPr>
        <w:t>Vue Router 4</w:t>
      </w:r>
      <w:r>
        <w:rPr>
          <w:rFonts w:ascii="Segoe UI" w:hAnsi="Segoe UI"/>
          <w:color w:val="2D3748"/>
          <w:sz w:val="19"/>
        </w:rPr>
        <w:t xml:space="preserve"> para el frontend de </w:t>
      </w:r>
      <w:r>
        <w:rPr>
          <w:rFonts w:ascii="Segoe UI" w:hAnsi="Segoe UI"/>
          <w:b/>
          <w:color w:val="2D3748"/>
          <w:sz w:val="19"/>
        </w:rPr>
        <w:t>Monchis Café</w:t>
      </w:r>
      <w:r>
        <w:rPr>
          <w:rFonts w:ascii="Segoe UI" w:hAnsi="Segoe UI"/>
          <w:color w:val="2D3748"/>
          <w:sz w:val="19"/>
        </w:rPr>
        <w:t>. Aquí se formaliza cómo viaja el usuario entre el catálogo público prerenderizado (`vite-ssg`), el punto de venta protegido (`/pos`) y el panel administrativo con autenticación de doble factor (`/admin`).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2. Mapa y Grafo de Navegación del Sistema (Vue Router)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 xml:space="preserve">El sistema clasifica sus pantallas en dos dominios claramente separados: </w:t>
      </w:r>
      <w:r>
        <w:rPr>
          <w:rFonts w:ascii="Segoe UI" w:hAnsi="Segoe UI"/>
          <w:b/>
          <w:color w:val="2D3748"/>
          <w:sz w:val="19"/>
        </w:rPr>
        <w:t>Rutas Públicas Prerenderizadas</w:t>
      </w:r>
      <w:r>
        <w:rPr>
          <w:rFonts w:ascii="Segoe UI" w:hAnsi="Segoe UI"/>
          <w:color w:val="2D3748"/>
          <w:sz w:val="19"/>
        </w:rPr>
        <w:t xml:space="preserve"> (optimizadas para SEO con Schema.org y meta tags dinámicos) y </w:t>
      </w:r>
      <w:r>
        <w:rPr>
          <w:rFonts w:ascii="Segoe UI" w:hAnsi="Segoe UI"/>
          <w:b/>
          <w:color w:val="2D3748"/>
          <w:sz w:val="19"/>
        </w:rPr>
        <w:t>Rutas Privadas Protegidas</w:t>
      </w:r>
      <w:r>
        <w:rPr>
          <w:rFonts w:ascii="Segoe UI" w:hAnsi="Segoe UI"/>
          <w:color w:val="2D3748"/>
          <w:sz w:val="19"/>
        </w:rPr>
        <w:t xml:space="preserve"> (Single Page Application con `noindex, nofollow` y guardianes RBAC):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+=======================================================================================+</w:t>
              <w:br/>
              <w:t>|                             ÁRBOL DE NAVEGACIÓN WEB                                   |</w:t>
              <w:br/>
              <w:t>+=======================================================================================+</w:t>
              <w:br/>
              <w:t>| 1. RUTAS PÚBLICAS (Prerenderizadas con vite-ssg):                                     |</w:t>
              <w:br/>
              <w:t>|    /                  --&gt; Landing Page (Historia, propuesta de valor orgánico)        |</w:t>
              <w:br/>
              <w:t>|    /menu              --&gt; Catálogo digital de café de especialidad y alimentos        |</w:t>
              <w:br/>
              <w:t>|    /rewards           --&gt; Información del programa de fidelización y ODS 12           |</w:t>
              <w:br/>
              <w:t>|    /nosotros          --&gt; Origen de cooperativas campesinas y sustentabilidad         |</w:t>
              <w:br/>
              <w:t>|    /contacto          --&gt; Ubicación geográfica (Google Maps) y canales de atención    |</w:t>
              <w:br/>
              <w:t>|    /login             --&gt; Formulario de acceso seguro con Google reCAPTCHA            |</w:t>
              <w:br/>
              <w:t>|    /registro          --&gt; Alta de clientes en Rewards con captura de parámetros UTM  |</w:t>
              <w:br/>
              <w:t>+---------------------------------------------------------------------------------------+</w:t>
              <w:br/>
              <w:t>| 2. RUTAS PRIVADAS (Protegidas por Navigation Guards RBAC):                            |</w:t>
              <w:br/>
              <w:t>|    /pos               --&gt; Terminal de cobro (Requiere rol: CAJERO o ADMIN)            |</w:t>
              <w:br/>
              <w:t>|    /admin             --&gt; Panel gerencial (Requiere rol: ADMIN + 2FA validado)        |</w:t>
              <w:br/>
              <w:t>|    /perfil            --&gt; Consulta de sellos y configuración de cuenta (CLIENTE/STAFF)|</w:t>
              <w:br/>
              <w:t>+=======================================================================================+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3. Diagrama de Transición de Navegación y Guardianes de Ruta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El siguiente diagrama modela cómo el guardián global de navegación (`router.beforeEach`) evalúa el estado de autenticación y los permisos del usuario antes de permitir el acceso a cada pantalla: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[ Visitante en Internet ]</w:t>
              <w:br/>
              <w:t xml:space="preserve">         |</w:t>
              <w:br/>
              <w:t xml:space="preserve">         v</w:t>
              <w:br/>
              <w:t>+------------------+     ¿Ruta Pública? (/, /menu, /rewards)</w:t>
              <w:br/>
              <w:t>| Petición de Ruta | -----------------------------------------&gt; [ Carga Vista Pública (HTML SSG) ]</w:t>
              <w:br/>
              <w:t>+------------------+</w:t>
              <w:br/>
              <w:t xml:space="preserve">         |</w:t>
              <w:br/>
              <w:t xml:space="preserve">         | ¿Ruta Protegida? (/pos, /admin, /perfil)</w:t>
              <w:br/>
              <w:t xml:space="preserve">         v</w:t>
              <w:br/>
              <w:t>+------------------------+      (NO)</w:t>
              <w:br/>
              <w:t>| ¿Existe Access Token   | --------------&gt; [ Redirige a /login con redirectUrl ]</w:t>
              <w:br/>
              <w:t>| válido en Pinia Store? |</w:t>
              <w:br/>
              <w:t>+------------------------+</w:t>
              <w:br/>
              <w:t xml:space="preserve">         | (SÍ)</w:t>
              <w:br/>
              <w:t xml:space="preserve">         v</w:t>
              <w:br/>
              <w:t>+------------------------+      (NO)</w:t>
              <w:br/>
              <w:t>| ¿El rol del usuario    | --------------&gt; [ Redirige a /403 Prohibido o /pos ]</w:t>
              <w:br/>
              <w:t>| cumple la matriz RBAC? |</w:t>
              <w:br/>
              <w:t>+------------------------+</w:t>
              <w:br/>
              <w:t xml:space="preserve">         | (SÍ)</w:t>
              <w:br/>
              <w:t xml:space="preserve">         +---- (Si ruta es /admin y falta 2FA) ---&gt; [ Despliega Modal Desafío TOTP ]</w:t>
              <w:br/>
              <w:t xml:space="preserve">         |                                                    | (Código Válido)</w:t>
              <w:br/>
              <w:t xml:space="preserve">         |                                                    v</w:t>
              <w:br/>
              <w:t xml:space="preserve">         +----------------------------------------&gt; [ Carga Pantalla Solicitada ]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4. Especificación Detallada de Eventos en Interfaz de Mostrador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Para maximizar la ergonomía y la velocidad en la terminal del Punto de Venta (`/pos`), la interacción en pantalla responde a eventos físicos y de teclado capturados globalmente: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Evento / Atajo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Elemento de Interfaz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Acción Técnica en el Frontend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Resultado Observable en Pantalla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Pulsación `F2`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Teclado físico de caja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Dispara la función `posStore.cobrarOrden()`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Abre el modal de confirmación de pago y coloca el foco en el campo de efectivo.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Pulsación `Escape`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Teclado físico de caja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Dispara la función `posStore.limpiarCarrito()`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Vacia la orden en curso tras pedir confirmación rápida al cajero.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Lectura de Código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Escáner óptico USB/HID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Listener global de eventos `keydown` con buffer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Detecta el prefijo numérico (ej. `7501001`), busca el producto y lo suma a la orden en &lt; 50 ms.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Check Bono Ecológico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Casilla táctil en orden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Activa bandera reactiva `termoReusable: true`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Descuenta -\$5.00 MXN del total o activa la notificación de sellos dobles ODS 12.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Selección de Pago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Botones de forma de pago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Modifica la variable reactiva `metodoPago`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Despliega campos específicos (cálculo de cambio para efectivo, o voucher para SPEI/Tarjeta).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Expiración de Token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Interceptor Axios/Fetch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Emite petición a `/api/auth/refresh`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60" w:after="60"/>
            </w:pPr>
            <w:r>
              <w:rPr>
                <w:rFonts w:ascii="Segoe UI" w:hAnsi="Segoe UI"/>
                <w:b w:val="0"/>
                <w:color w:val="2D3748"/>
                <w:sz w:val="17"/>
              </w:rPr>
              <w:t>Si la cookie `httpOnly` es válida, renueva el Access Token en memoria sin parpadeo de pantalla.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5. Justificación Práctica en el Proyecto</w:t>
      </w:r>
    </w:p>
    <w:p>
      <w:pPr>
        <w:spacing w:before="40" w:after="60" w:line="276" w:lineRule="auto"/>
      </w:pPr>
      <w:r>
        <w:rPr>
          <w:rFonts w:ascii="Segoe UI" w:hAnsi="Segoe UI"/>
          <w:color w:val="2D3748"/>
          <w:sz w:val="19"/>
        </w:rPr>
        <w:t>Diseñar con rigor el prototipo y la mecánica de navegación es lo que garantiza una experiencia de usuario fluida y segura. Como señalan Garzotto et al. (1993), una aplicación web comercial no puede depender de que el usuario "adivine" cómo regresar o qué botón presionar. En Monchis Café, contar con atajos de teclado (`F2`, `Esc`) e integración nativa con lectores de códigos de barra permite que el barista atienda a toda velocidad sin tocar el ratón. Asimismo, la protección estricta mediante *Navigation Guards* asegura que ningún cliente curioso pueda asomarse al panel de administración o al punto de venta simplemente escribiendo la URL en su navegador.</w:t>
      </w:r>
    </w:p>
    <w:p>
      <w:pPr>
        <w:spacing w:before="80" w:after="80"/>
      </w:pPr>
      <w:r>
        <w:rPr>
          <w:color w:val="CBD5E1"/>
          <w:sz w:val="14"/>
        </w:rPr>
        <w:t>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1A365D"/>
          <w:sz w:val="23"/>
        </w:rPr>
        <w:t>6. Referencias Bibliográficas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Garzotto, F., Paolini, P., &amp; Schwabe, D. (1993).</w:t>
      </w:r>
      <w:r>
        <w:rPr>
          <w:rFonts w:ascii="Segoe UI" w:hAnsi="Segoe UI"/>
          <w:color w:val="2D3748"/>
          <w:sz w:val="19"/>
        </w:rPr>
        <w:t xml:space="preserve"> HDM—A model-based approach to hypertext application design. *ACM Transactions on Information Systems (TOIS)*, 11(1), 1–26. https://doi.org/10.1145/151480.151483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Pressman, R. S., &amp; Maxim, B. R. (2021).</w:t>
      </w:r>
      <w:r>
        <w:rPr>
          <w:rFonts w:ascii="Segoe UI" w:hAnsi="Segoe UI"/>
          <w:color w:val="2D3748"/>
          <w:sz w:val="19"/>
        </w:rPr>
        <w:t xml:space="preserve"> *Ingeniería de software: un enfoque práctico* (9.ª ed.). McGraw-Hill Interamericana.</w:t>
      </w:r>
    </w:p>
    <w:p>
      <w:pPr>
        <w:spacing w:before="40" w:after="40" w:line="276" w:lineRule="auto"/>
      </w:pPr>
      <w:r>
        <w:rPr>
          <w:rFonts w:ascii="Segoe UI" w:hAnsi="Segoe UI"/>
          <w:b/>
          <w:color w:val="1A365D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</w:r>
      <w:r>
        <w:rPr>
          <w:rFonts w:ascii="Segoe UI" w:hAnsi="Segoe UI"/>
          <w:b/>
          <w:color w:val="2D3748"/>
          <w:sz w:val="19"/>
        </w:rPr>
        <w:t>Zachman, J. A. (1987).</w:t>
      </w:r>
      <w:r>
        <w:rPr>
          <w:rFonts w:ascii="Segoe UI" w:hAnsi="Segoe UI"/>
          <w:color w:val="2D3748"/>
          <w:sz w:val="19"/>
        </w:rPr>
        <w:t xml:space="preserve"> A framework for information systems architecture. *IBM Systems Journal*, 26(3), 276–292. https://doi.org/10.1147/sj.263.0276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