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tcBorders>
              <w:top w:val="double" w:sz="18" w:space="0" w:color="2B6CB0"/>
              <w:left w:val="double" w:sz="18" w:space="0" w:color="2B6CB0"/>
              <w:bottom w:val="double" w:sz="18" w:space="0" w:color="2B6CB0"/>
              <w:right w:val="double" w:sz="18" w:space="0" w:color="2B6CB0"/>
            </w:tcBorders>
            <w:shd w:fill="FAFCFF"/>
          </w:tcPr>
          <w:p>
            <w:pPr>
              <w:spacing w:before="280" w:after="40"/>
              <w:jc w:val="center"/>
            </w:pPr>
            <w:r>
              <w:rPr>
                <w:rFonts w:ascii="Segoe UI" w:hAnsi="Segoe UI"/>
                <w:b/>
                <w:color w:val="1A365D"/>
                <w:sz w:val="28"/>
              </w:rPr>
              <w:t>UNIVERSIDAD DE GUADALAJARA</w:t>
              <w:br/>
            </w:r>
            <w:r>
              <w:rPr>
                <w:rFonts w:ascii="Segoe UI" w:hAnsi="Segoe UI"/>
                <w:b/>
                <w:color w:val="2B6CB0"/>
                <w:sz w:val="22"/>
              </w:rPr>
              <w:t>Centro Universitario de Tonalá (CUTonalá)</w:t>
              <w:br/>
            </w:r>
            <w:r>
              <w:rPr>
                <w:rFonts w:ascii="Segoe UI" w:hAnsi="Segoe UI"/>
                <w:color w:val="4A5568"/>
                <w:sz w:val="18"/>
              </w:rPr>
              <w:t>División de Ingenierías e Innovación Tecnológica</w:t>
              <w:br/>
              <w:t>Licenciatura en Ciencias Computacionales / Ingeniería en Software</w:t>
              <w:br/>
              <w:br/>
            </w:r>
          </w:p>
          <w:p>
            <w:pPr>
              <w:spacing w:after="280"/>
              <w:jc w:val="center"/>
            </w:pPr>
            <w:r>
              <w:rPr>
                <w:rFonts w:ascii="Segoe UI" w:hAnsi="Segoe UI"/>
                <w:b/>
                <w:color w:val="4A5568"/>
                <w:sz w:val="20"/>
              </w:rPr>
              <w:t>PRÁCTICA MOMENTO 3 — METODOLOGÍA DEVOPS</w:t>
              <w:br/>
            </w:r>
            <w:r>
              <w:rPr>
                <w:rFonts w:ascii="Segoe UI" w:hAnsi="Segoe UI"/>
                <w:b/>
                <w:color w:val="1A365D"/>
                <w:sz w:val="30"/>
              </w:rPr>
              <w:t>Despliegue de la Versión Funcional, Monitoreo y Gestión de Incidencias</w:t>
              <w:br/>
              <w:br/>
            </w:r>
            <w:r>
              <w:rPr>
                <w:rFonts w:ascii="Segoe UI" w:hAnsi="Segoe UI"/>
                <w:b/>
                <w:color w:val="2B6CB0"/>
                <w:sz w:val="22"/>
              </w:rPr>
              <w:t>☕ Proyecto Oficial: Monchis Café (Equipo 2)</w:t>
              <w:br/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040"/>
              <w:gridCol w:w="5040"/>
            </w:tblGrid>
            <w:tr>
              <w:tc>
                <w:tcPr>
                  <w:tcW w:type="dxa" w:w="3168"/>
                  <w:tcBorders>
                    <w:top w:val="none" w:sz="4" w:space="0" w:color="CBD5E0"/>
                    <w:left w:val="none" w:sz="4" w:space="0" w:color="CBD5E0"/>
                    <w:bottom w:val="none" w:sz="4" w:space="0" w:color="CBD5E0"/>
                    <w:right w:val="none" w:sz="4" w:space="0" w:color="CBD5E0"/>
                  </w:tcBorders>
                  <w:shd w:fill="F7FAFC"/>
                </w:tcPr>
                <w:p>
                  <w:pPr>
                    <w:spacing w:before="40" w:after="40"/>
                  </w:pPr>
                  <w:r>
                    <w:rPr>
                      <w:rFonts w:ascii="Segoe UI" w:hAnsi="Segoe UI"/>
                      <w:b/>
                      <w:color w:val="2D3748"/>
                      <w:sz w:val="17"/>
                    </w:rPr>
                    <w:t>Asignatura:</w:t>
                  </w:r>
                </w:p>
              </w:tc>
              <w:tc>
                <w:tcPr>
                  <w:tcW w:type="dxa" w:w="6192"/>
                  <w:tcBorders>
                    <w:top w:val="none" w:sz="4" w:space="0" w:color="CBD5E0"/>
                    <w:left w:val="none" w:sz="4" w:space="0" w:color="CBD5E0"/>
                    <w:bottom w:val="none" w:sz="4" w:space="0" w:color="CBD5E0"/>
                    <w:right w:val="none" w:sz="4" w:space="0" w:color="CBD5E0"/>
                  </w:tcBorders>
                  <w:shd w:fill="F7FAFC"/>
                </w:tcPr>
                <w:p>
                  <w:pPr>
                    <w:spacing w:before="40" w:after="40"/>
                  </w:pPr>
                  <w:r>
                    <w:rPr>
                      <w:rFonts w:ascii="Segoe UI" w:hAnsi="Segoe UI"/>
                      <w:color w:val="4A5568"/>
                      <w:sz w:val="17"/>
                    </w:rPr>
                    <w:t>Productos Integradores / Proyecto Integrador de Desarrollo de Software</w:t>
                  </w:r>
                </w:p>
              </w:tc>
            </w:tr>
            <w:tr>
              <w:tc>
                <w:tcPr>
                  <w:tcW w:type="dxa" w:w="3168"/>
                  <w:tcBorders>
                    <w:top w:val="none" w:sz="4" w:space="0" w:color="CBD5E0"/>
                    <w:left w:val="none" w:sz="4" w:space="0" w:color="CBD5E0"/>
                    <w:bottom w:val="none" w:sz="4" w:space="0" w:color="CBD5E0"/>
                    <w:right w:val="none" w:sz="4" w:space="0" w:color="CBD5E0"/>
                  </w:tcBorders>
                  <w:shd w:fill="F7FAFC"/>
                </w:tcPr>
                <w:p>
                  <w:pPr>
                    <w:spacing w:before="40" w:after="40"/>
                  </w:pPr>
                  <w:r>
                    <w:rPr>
                      <w:rFonts w:ascii="Segoe UI" w:hAnsi="Segoe UI"/>
                      <w:b/>
                      <w:color w:val="2D3748"/>
                      <w:sz w:val="17"/>
                    </w:rPr>
                    <w:t>Docente Titular:</w:t>
                  </w:r>
                </w:p>
              </w:tc>
              <w:tc>
                <w:tcPr>
                  <w:tcW w:type="dxa" w:w="6192"/>
                  <w:tcBorders>
                    <w:top w:val="none" w:sz="4" w:space="0" w:color="CBD5E0"/>
                    <w:left w:val="none" w:sz="4" w:space="0" w:color="CBD5E0"/>
                    <w:bottom w:val="none" w:sz="4" w:space="0" w:color="CBD5E0"/>
                    <w:right w:val="none" w:sz="4" w:space="0" w:color="CBD5E0"/>
                  </w:tcBorders>
                  <w:shd w:fill="F7FAFC"/>
                </w:tcPr>
                <w:p>
                  <w:pPr>
                    <w:spacing w:before="40" w:after="40"/>
                  </w:pPr>
                  <w:r>
                    <w:rPr>
                      <w:rFonts w:ascii="Segoe UI" w:hAnsi="Segoe UI"/>
                      <w:color w:val="4A5568"/>
                      <w:sz w:val="17"/>
                    </w:rPr>
                    <w:t>Dr. Gabriel Navarro Salcedo</w:t>
                  </w:r>
                </w:p>
              </w:tc>
            </w:tr>
            <w:tr>
              <w:tc>
                <w:tcPr>
                  <w:tcW w:type="dxa" w:w="3168"/>
                  <w:tcBorders>
                    <w:top w:val="none" w:sz="4" w:space="0" w:color="CBD5E0"/>
                    <w:left w:val="none" w:sz="4" w:space="0" w:color="CBD5E0"/>
                    <w:bottom w:val="none" w:sz="4" w:space="0" w:color="CBD5E0"/>
                    <w:right w:val="none" w:sz="4" w:space="0" w:color="CBD5E0"/>
                  </w:tcBorders>
                  <w:shd w:fill="F7FAFC"/>
                </w:tcPr>
                <w:p>
                  <w:pPr>
                    <w:spacing w:before="40" w:after="40"/>
                  </w:pPr>
                  <w:r>
                    <w:rPr>
                      <w:rFonts w:ascii="Segoe UI" w:hAnsi="Segoe UI"/>
                      <w:b/>
                      <w:color w:val="2D3748"/>
                      <w:sz w:val="17"/>
                    </w:rPr>
                    <w:t>Equipo de Trabajo:</w:t>
                  </w:r>
                </w:p>
              </w:tc>
              <w:tc>
                <w:tcPr>
                  <w:tcW w:type="dxa" w:w="6192"/>
                  <w:tcBorders>
                    <w:top w:val="none" w:sz="4" w:space="0" w:color="CBD5E0"/>
                    <w:left w:val="none" w:sz="4" w:space="0" w:color="CBD5E0"/>
                    <w:bottom w:val="none" w:sz="4" w:space="0" w:color="CBD5E0"/>
                    <w:right w:val="none" w:sz="4" w:space="0" w:color="CBD5E0"/>
                  </w:tcBorders>
                  <w:shd w:fill="F7FAFC"/>
                </w:tcPr>
                <w:p>
                  <w:pPr>
                    <w:spacing w:before="40" w:after="40"/>
                  </w:pPr>
                  <w:r>
                    <w:rPr>
                      <w:rFonts w:ascii="Segoe UI" w:hAnsi="Segoe UI"/>
                      <w:color w:val="4A5568"/>
                      <w:sz w:val="17"/>
                    </w:rPr>
                    <w:t>Equipo 2 — Soluciones Digitales Fierro &amp; Asociados</w:t>
                  </w:r>
                </w:p>
              </w:tc>
            </w:tr>
            <w:tr>
              <w:tc>
                <w:tcPr>
                  <w:tcW w:type="dxa" w:w="3168"/>
                  <w:tcBorders>
                    <w:top w:val="none" w:sz="4" w:space="0" w:color="CBD5E0"/>
                    <w:left w:val="none" w:sz="4" w:space="0" w:color="CBD5E0"/>
                    <w:bottom w:val="none" w:sz="4" w:space="0" w:color="CBD5E0"/>
                    <w:right w:val="none" w:sz="4" w:space="0" w:color="CBD5E0"/>
                  </w:tcBorders>
                  <w:shd w:fill="F7FAFC"/>
                </w:tcPr>
                <w:p>
                  <w:pPr>
                    <w:spacing w:before="40" w:after="40"/>
                  </w:pPr>
                  <w:r>
                    <w:rPr>
                      <w:rFonts w:ascii="Segoe UI" w:hAnsi="Segoe UI"/>
                      <w:b/>
                      <w:color w:val="2D3748"/>
                      <w:sz w:val="17"/>
                    </w:rPr>
                    <w:t>Líder DevOps / Ops:</w:t>
                  </w:r>
                </w:p>
              </w:tc>
              <w:tc>
                <w:tcPr>
                  <w:tcW w:type="dxa" w:w="6192"/>
                  <w:tcBorders>
                    <w:top w:val="none" w:sz="4" w:space="0" w:color="CBD5E0"/>
                    <w:left w:val="none" w:sz="4" w:space="0" w:color="CBD5E0"/>
                    <w:bottom w:val="none" w:sz="4" w:space="0" w:color="CBD5E0"/>
                    <w:right w:val="none" w:sz="4" w:space="0" w:color="CBD5E0"/>
                  </w:tcBorders>
                  <w:shd w:fill="F7FAFC"/>
                </w:tcPr>
                <w:p>
                  <w:pPr>
                    <w:spacing w:before="40" w:after="40"/>
                  </w:pPr>
                  <w:r>
                    <w:rPr>
                      <w:rFonts w:ascii="Segoe UI" w:hAnsi="Segoe UI"/>
                      <w:color w:val="4A5568"/>
                      <w:sz w:val="17"/>
                    </w:rPr>
                    <w:t>Ernesto Hatuey Fierro Medina (Código: 215487963)</w:t>
                  </w:r>
                </w:p>
              </w:tc>
            </w:tr>
            <w:tr>
              <w:tc>
                <w:tcPr>
                  <w:tcW w:type="dxa" w:w="3168"/>
                  <w:tcBorders>
                    <w:top w:val="none" w:sz="4" w:space="0" w:color="CBD5E0"/>
                    <w:left w:val="none" w:sz="4" w:space="0" w:color="CBD5E0"/>
                    <w:bottom w:val="none" w:sz="4" w:space="0" w:color="CBD5E0"/>
                    <w:right w:val="none" w:sz="4" w:space="0" w:color="CBD5E0"/>
                  </w:tcBorders>
                  <w:shd w:fill="F7FAFC"/>
                </w:tcPr>
                <w:p>
                  <w:pPr>
                    <w:spacing w:before="40" w:after="40"/>
                  </w:pPr>
                  <w:r>
                    <w:rPr>
                      <w:rFonts w:ascii="Segoe UI" w:hAnsi="Segoe UI"/>
                      <w:b/>
                      <w:color w:val="2D3748"/>
                      <w:sz w:val="17"/>
                    </w:rPr>
                    <w:t>Desarrollador Frontend:</w:t>
                  </w:r>
                </w:p>
              </w:tc>
              <w:tc>
                <w:tcPr>
                  <w:tcW w:type="dxa" w:w="6192"/>
                  <w:tcBorders>
                    <w:top w:val="none" w:sz="4" w:space="0" w:color="CBD5E0"/>
                    <w:left w:val="none" w:sz="4" w:space="0" w:color="CBD5E0"/>
                    <w:bottom w:val="none" w:sz="4" w:space="0" w:color="CBD5E0"/>
                    <w:right w:val="none" w:sz="4" w:space="0" w:color="CBD5E0"/>
                  </w:tcBorders>
                  <w:shd w:fill="F7FAFC"/>
                </w:tcPr>
                <w:p>
                  <w:pPr>
                    <w:spacing w:before="40" w:after="40"/>
                  </w:pPr>
                  <w:r>
                    <w:rPr>
                      <w:rFonts w:ascii="Segoe UI" w:hAnsi="Segoe UI"/>
                      <w:color w:val="4A5568"/>
                      <w:sz w:val="17"/>
                    </w:rPr>
                    <w:t>Jazmín Díaz (Dev)</w:t>
                  </w:r>
                </w:p>
              </w:tc>
            </w:tr>
            <w:tr>
              <w:tc>
                <w:tcPr>
                  <w:tcW w:type="dxa" w:w="3168"/>
                  <w:tcBorders>
                    <w:top w:val="none" w:sz="4" w:space="0" w:color="CBD5E0"/>
                    <w:left w:val="none" w:sz="4" w:space="0" w:color="CBD5E0"/>
                    <w:bottom w:val="none" w:sz="4" w:space="0" w:color="CBD5E0"/>
                    <w:right w:val="none" w:sz="4" w:space="0" w:color="CBD5E0"/>
                  </w:tcBorders>
                  <w:shd w:fill="F7FAFC"/>
                </w:tcPr>
                <w:p>
                  <w:pPr>
                    <w:spacing w:before="40" w:after="40"/>
                  </w:pPr>
                  <w:r>
                    <w:rPr>
                      <w:rFonts w:ascii="Segoe UI" w:hAnsi="Segoe UI"/>
                      <w:b/>
                      <w:color w:val="2D3748"/>
                      <w:sz w:val="17"/>
                    </w:rPr>
                    <w:t>Desarrollador Backend:</w:t>
                  </w:r>
                </w:p>
              </w:tc>
              <w:tc>
                <w:tcPr>
                  <w:tcW w:type="dxa" w:w="6192"/>
                  <w:tcBorders>
                    <w:top w:val="none" w:sz="4" w:space="0" w:color="CBD5E0"/>
                    <w:left w:val="none" w:sz="4" w:space="0" w:color="CBD5E0"/>
                    <w:bottom w:val="none" w:sz="4" w:space="0" w:color="CBD5E0"/>
                    <w:right w:val="none" w:sz="4" w:space="0" w:color="CBD5E0"/>
                  </w:tcBorders>
                  <w:shd w:fill="F7FAFC"/>
                </w:tcPr>
                <w:p>
                  <w:pPr>
                    <w:spacing w:before="40" w:after="40"/>
                  </w:pPr>
                  <w:r>
                    <w:rPr>
                      <w:rFonts w:ascii="Segoe UI" w:hAnsi="Segoe UI"/>
                      <w:color w:val="4A5568"/>
                      <w:sz w:val="17"/>
                    </w:rPr>
                    <w:t>Héctor Hernández (Dev)</w:t>
                  </w:r>
                </w:p>
              </w:tc>
            </w:tr>
            <w:tr>
              <w:tc>
                <w:tcPr>
                  <w:tcW w:type="dxa" w:w="3168"/>
                  <w:tcBorders>
                    <w:top w:val="none" w:sz="4" w:space="0" w:color="CBD5E0"/>
                    <w:left w:val="none" w:sz="4" w:space="0" w:color="CBD5E0"/>
                    <w:bottom w:val="none" w:sz="4" w:space="0" w:color="CBD5E0"/>
                    <w:right w:val="none" w:sz="4" w:space="0" w:color="CBD5E0"/>
                  </w:tcBorders>
                  <w:shd w:fill="F7FAFC"/>
                </w:tcPr>
                <w:p>
                  <w:pPr>
                    <w:spacing w:before="40" w:after="40"/>
                  </w:pPr>
                  <w:r>
                    <w:rPr>
                      <w:rFonts w:ascii="Segoe UI" w:hAnsi="Segoe UI"/>
                      <w:b/>
                      <w:color w:val="2D3748"/>
                      <w:sz w:val="17"/>
                    </w:rPr>
                    <w:t>QA &amp; Incident Response:</w:t>
                  </w:r>
                </w:p>
              </w:tc>
              <w:tc>
                <w:tcPr>
                  <w:tcW w:type="dxa" w:w="6192"/>
                  <w:tcBorders>
                    <w:top w:val="none" w:sz="4" w:space="0" w:color="CBD5E0"/>
                    <w:left w:val="none" w:sz="4" w:space="0" w:color="CBD5E0"/>
                    <w:bottom w:val="none" w:sz="4" w:space="0" w:color="CBD5E0"/>
                    <w:right w:val="none" w:sz="4" w:space="0" w:color="CBD5E0"/>
                  </w:tcBorders>
                  <w:shd w:fill="F7FAFC"/>
                </w:tcPr>
                <w:p>
                  <w:pPr>
                    <w:spacing w:before="40" w:after="40"/>
                  </w:pPr>
                  <w:r>
                    <w:rPr>
                      <w:rFonts w:ascii="Segoe UI" w:hAnsi="Segoe UI"/>
                      <w:color w:val="4A5568"/>
                      <w:sz w:val="17"/>
                    </w:rPr>
                    <w:t>Oswaldo Millán (QA/SecOps)</w:t>
                  </w:r>
                </w:p>
              </w:tc>
            </w:tr>
            <w:tr>
              <w:tc>
                <w:tcPr>
                  <w:tcW w:type="dxa" w:w="3168"/>
                  <w:tcBorders>
                    <w:top w:val="none" w:sz="4" w:space="0" w:color="CBD5E0"/>
                    <w:left w:val="none" w:sz="4" w:space="0" w:color="CBD5E0"/>
                    <w:bottom w:val="none" w:sz="4" w:space="0" w:color="CBD5E0"/>
                    <w:right w:val="none" w:sz="4" w:space="0" w:color="CBD5E0"/>
                  </w:tcBorders>
                  <w:shd w:fill="F7FAFC"/>
                </w:tcPr>
                <w:p>
                  <w:pPr>
                    <w:spacing w:before="40" w:after="40"/>
                  </w:pPr>
                  <w:r>
                    <w:rPr>
                      <w:rFonts w:ascii="Segoe UI" w:hAnsi="Segoe UI"/>
                      <w:b/>
                      <w:color w:val="2D3748"/>
                      <w:sz w:val="17"/>
                    </w:rPr>
                    <w:t>ODS Asociado:</w:t>
                  </w:r>
                </w:p>
              </w:tc>
              <w:tc>
                <w:tcPr>
                  <w:tcW w:type="dxa" w:w="6192"/>
                  <w:tcBorders>
                    <w:top w:val="none" w:sz="4" w:space="0" w:color="CBD5E0"/>
                    <w:left w:val="none" w:sz="4" w:space="0" w:color="CBD5E0"/>
                    <w:bottom w:val="none" w:sz="4" w:space="0" w:color="CBD5E0"/>
                    <w:right w:val="none" w:sz="4" w:space="0" w:color="CBD5E0"/>
                  </w:tcBorders>
                  <w:shd w:fill="F7FAFC"/>
                </w:tcPr>
                <w:p>
                  <w:pPr>
                    <w:spacing w:before="40" w:after="40"/>
                  </w:pPr>
                  <w:r>
                    <w:rPr>
                      <w:rFonts w:ascii="Segoe UI" w:hAnsi="Segoe UI"/>
                      <w:color w:val="4A5568"/>
                      <w:sz w:val="17"/>
                    </w:rPr>
                    <w:t>ODS 12: Producción y Consumo Responsables (Metas 12.2, 12.3, 12.5)</w:t>
                  </w:r>
                </w:p>
              </w:tc>
            </w:tr>
            <w:tr>
              <w:tc>
                <w:tcPr>
                  <w:tcW w:type="dxa" w:w="3168"/>
                  <w:tcBorders>
                    <w:top w:val="none" w:sz="4" w:space="0" w:color="CBD5E0"/>
                    <w:left w:val="none" w:sz="4" w:space="0" w:color="CBD5E0"/>
                    <w:bottom w:val="none" w:sz="4" w:space="0" w:color="CBD5E0"/>
                    <w:right w:val="none" w:sz="4" w:space="0" w:color="CBD5E0"/>
                  </w:tcBorders>
                  <w:shd w:fill="F7FAFC"/>
                </w:tcPr>
                <w:p>
                  <w:pPr>
                    <w:spacing w:before="40" w:after="40"/>
                  </w:pPr>
                  <w:r>
                    <w:rPr>
                      <w:rFonts w:ascii="Segoe UI" w:hAnsi="Segoe UI"/>
                      <w:b/>
                      <w:color w:val="2D3748"/>
                      <w:sz w:val="17"/>
                    </w:rPr>
                    <w:t>Fecha de Entrega:</w:t>
                  </w:r>
                </w:p>
              </w:tc>
              <w:tc>
                <w:tcPr>
                  <w:tcW w:type="dxa" w:w="6192"/>
                  <w:tcBorders>
                    <w:top w:val="none" w:sz="4" w:space="0" w:color="CBD5E0"/>
                    <w:left w:val="none" w:sz="4" w:space="0" w:color="CBD5E0"/>
                    <w:bottom w:val="none" w:sz="4" w:space="0" w:color="CBD5E0"/>
                    <w:right w:val="none" w:sz="4" w:space="0" w:color="CBD5E0"/>
                  </w:tcBorders>
                  <w:shd w:fill="F7FAFC"/>
                </w:tcPr>
                <w:p>
                  <w:pPr>
                    <w:spacing w:before="40" w:after="40"/>
                  </w:pPr>
                  <w:r>
                    <w:rPr>
                      <w:rFonts w:ascii="Segoe UI" w:hAnsi="Segoe UI"/>
                      <w:color w:val="4A5568"/>
                      <w:sz w:val="17"/>
                    </w:rPr>
                    <w:t>17 de noviembre de 2026</w:t>
                  </w:r>
                </w:p>
              </w:tc>
            </w:tr>
          </w:tbl>
          <w:p/>
          <w:p>
            <w:pPr>
              <w:spacing w:before="320" w:after="120"/>
              <w:jc w:val="center"/>
            </w:pPr>
            <w:r>
              <w:rPr>
                <w:rFonts w:ascii="Segoe UI" w:hAnsi="Segoe UI"/>
                <w:color w:val="718096"/>
                <w:sz w:val="16"/>
              </w:rPr>
              <w:t>Gestión Web Segura para Cafetería Orgánica y Comercial • Tonalá, Jalisco • 2026-B</w:t>
            </w:r>
          </w:p>
        </w:tc>
      </w:tr>
    </w:tbl>
    <w:p>
      <w:r>
        <w:br w:type="page"/>
      </w:r>
    </w:p>
    <w:p>
      <w:pPr>
        <w:keepNext/>
        <w:spacing w:before="280" w:after="120"/>
      </w:pPr>
      <w:r>
        <w:rPr>
          <w:rFonts w:ascii="Segoe UI" w:hAnsi="Segoe UI"/>
          <w:b/>
          <w:color w:val="1A365D"/>
          <w:sz w:val="28"/>
        </w:rPr>
        <w:t>1. Capturas y Enlaces del Despliegue en la Nube (Google Cloud) y Entorno Local</w:t>
      </w:r>
    </w:p>
    <w:p>
      <w:pPr>
        <w:spacing w:before="0" w:after="120" w:line="276" w:lineRule="auto"/>
      </w:pPr>
      <w:r>
        <w:rPr>
          <w:rFonts w:ascii="Segoe UI" w:hAnsi="Segoe UI"/>
          <w:color w:val="2D3748"/>
          <w:sz w:val="19"/>
        </w:rPr>
        <w:t>En cumplimiento estricto con los objetivos del Momento 3 y en apego a la directiva de la rúbrica docente ('Capturas o enlace de despliegue (local o nube)'), el Equipo 2 materializó el despliegue oficial de producción en la nube mediante Google Cloud Run (https://monchis-cafe-413732374840.us-central1.run.app) en el proyecto GCP ernesto-513022, complementado con un entorno de staging local multi-contenedor orquestado mediante Docker Compose y Gateway Nginx SSL/TLS 1.3.</w:t>
      </w:r>
    </w:p>
    <w:p>
      <w:pPr>
        <w:keepNext/>
        <w:spacing w:before="220" w:after="80"/>
      </w:pPr>
      <w:r>
        <w:rPr>
          <w:rFonts w:ascii="Segoe UI" w:hAnsi="Segoe UI"/>
          <w:b/>
          <w:color w:val="2B6CB0"/>
          <w:sz w:val="23"/>
        </w:rPr>
        <w:t>1.1 Arquitectura de Despliegue en Google Cloud Platform y Docker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A365D"/>
          <w:sz w:val="19"/>
        </w:rPr>
        <w:t xml:space="preserve">Google Cloud Run (Producción en la Nube): </w:t>
      </w:r>
      <w:r>
        <w:rPr>
          <w:rFonts w:ascii="Segoe UI" w:hAnsi="Segoe UI"/>
          <w:color w:val="2D3748"/>
          <w:sz w:val="19"/>
        </w:rPr>
        <w:t>Servicio serverless de alta disponibilidad en https://monchis-cafe-413732374840.us-central1.run.app (Proyecto GCP: ernesto-513022) con TLS 1.3 y auto-escalado.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A365D"/>
          <w:sz w:val="19"/>
        </w:rPr>
        <w:t xml:space="preserve">monchis_gateway (Nginx Ingress Local): </w:t>
      </w:r>
      <w:r>
        <w:rPr>
          <w:rFonts w:ascii="Segoe UI" w:hAnsi="Segoe UI"/>
          <w:color w:val="2D3748"/>
          <w:sz w:val="19"/>
        </w:rPr>
        <w:t>Puertos 80 y 443 con terminación TLS 1.3, compresión gzip y cabeceras OWASP.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A365D"/>
          <w:sz w:val="19"/>
        </w:rPr>
        <w:t xml:space="preserve">monchis_web (Frontend SPA/SSG): </w:t>
      </w:r>
      <w:r>
        <w:rPr>
          <w:rFonts w:ascii="Segoe UI" w:hAnsi="Segoe UI"/>
          <w:color w:val="2D3748"/>
          <w:sz w:val="19"/>
        </w:rPr>
        <w:t>Vue 3 + Vite prerenderizado con vite-ssg en puerto 3000 para máximo rendimiento.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A365D"/>
          <w:sz w:val="19"/>
        </w:rPr>
        <w:t xml:space="preserve">monchis_api (Backend Core): </w:t>
      </w:r>
      <w:r>
        <w:rPr>
          <w:rFonts w:ascii="Segoe UI" w:hAnsi="Segoe UI"/>
          <w:color w:val="2D3748"/>
          <w:sz w:val="19"/>
        </w:rPr>
        <w:t>Node.js 20 LTS en puerto 8080 con JWT stateless, validación Zod y Saga Coordinator.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A365D"/>
          <w:sz w:val="19"/>
        </w:rPr>
        <w:t xml:space="preserve">monchis_postgres (PostgreSQL 15): </w:t>
      </w:r>
      <w:r>
        <w:rPr>
          <w:rFonts w:ascii="Segoe UI" w:hAnsi="Segoe UI"/>
          <w:color w:val="2D3748"/>
          <w:sz w:val="19"/>
        </w:rPr>
        <w:t>Persistencia ACID en puerto 5432 con volumen mapeado para trazabilidad de lotes.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A365D"/>
          <w:sz w:val="19"/>
        </w:rPr>
        <w:t xml:space="preserve">monchis_rabbitmq (Mensajería AMQP): </w:t>
      </w:r>
      <w:r>
        <w:rPr>
          <w:rFonts w:ascii="Segoe UI" w:hAnsi="Segoe UI"/>
          <w:color w:val="2D3748"/>
          <w:sz w:val="19"/>
        </w:rPr>
        <w:t>Broker en puertos 5672 y 15672 con Dead Letter Queue (DLQ) para resiliencia.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A365D"/>
          <w:sz w:val="19"/>
        </w:rPr>
        <w:t xml:space="preserve">monchis_redis (Caché &amp; Rate Limiter): </w:t>
      </w:r>
      <w:r>
        <w:rPr>
          <w:rFonts w:ascii="Segoe UI" w:hAnsi="Segoe UI"/>
          <w:color w:val="2D3748"/>
          <w:sz w:val="19"/>
        </w:rPr>
        <w:t>Redis 7 en puerto 6379 con política LRU para mitigación de ataques de fuerza bruta.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0FFF4"/>
            <w:tcBorders>
              <w:top w:val="none" w:sz="4" w:space="0" w:color="CBD5E0"/>
              <w:left w:val="single" w:sz="24" w:space="0" w:color="38A169"/>
              <w:bottom w:val="none" w:sz="4" w:space="0" w:color="CBD5E0"/>
              <w:right w:val="none" w:sz="4" w:space="0" w:color="CBD5E0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22543D"/>
                <w:sz w:val="18"/>
              </w:rPr>
              <w:t xml:space="preserve">Alineación con el ODS 12 (Producción y Consumo Responsables): </w:t>
            </w:r>
            <w:r>
              <w:rPr>
                <w:rFonts w:ascii="Segoe UI" w:hAnsi="Segoe UI"/>
                <w:color w:val="2D3748"/>
                <w:sz w:val="18"/>
              </w:rPr>
              <w:t>El despliegue operativo del sistema web habilita la bonificación ecológica en terminal POS (-$5.00 MXN y doble sello por recipiente reusable, Meta 12.5), así como el control riguroso de trazabilidad de café orgánico bajo sombra de Chiapas y Oaxaca (Meta 12.2).</w:t>
            </w:r>
          </w:p>
        </w:tc>
      </w:tr>
    </w:tbl>
    <w:p>
      <w:pPr>
        <w:spacing w:after="80"/>
      </w:pPr>
    </w:p>
    <w:p>
      <w:pPr>
        <w:keepNext/>
        <w:spacing w:before="220" w:after="80"/>
      </w:pPr>
      <w:r>
        <w:rPr>
          <w:rFonts w:ascii="Segoe UI" w:hAnsi="Segoe UI"/>
          <w:b/>
          <w:color w:val="2B6CB0"/>
          <w:sz w:val="23"/>
        </w:rPr>
        <w:t>EVIDENCIA 1.1 — APLICACIÓN WEB DESPLEGADA EN GOOGLE CLOUD PLATFORM (CLOUD RUN)</w:t>
      </w:r>
    </w:p>
    <w:p>
      <w:pPr>
        <w:spacing w:before="0" w:after="120" w:line="276" w:lineRule="auto"/>
      </w:pPr>
      <w:r>
        <w:rPr>
          <w:rFonts w:ascii="Segoe UI" w:hAnsi="Segoe UI"/>
          <w:color w:val="2D3748"/>
          <w:sz w:val="19"/>
        </w:rPr>
        <w:t>Servicio serverless activo en https://monchis-cafe-413732374840.us-central1.run.app (Proyecto GCP: ernesto-513022) con auto-escalado y cifrado TLS 1.3 gestionado por Google.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47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3_despliegue_gc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20" w:after="80"/>
      </w:pPr>
      <w:r>
        <w:rPr>
          <w:rFonts w:ascii="Segoe UI" w:hAnsi="Segoe UI"/>
          <w:b/>
          <w:color w:val="2B6CB0"/>
          <w:sz w:val="23"/>
        </w:rPr>
        <w:t>EVIDENCIA 1.2 — TOPOLOGÍA DE CONTENEDORES DOCKER Y CERTIFICADOS SSL NGINX</w:t>
      </w:r>
    </w:p>
    <w:p>
      <w:pPr>
        <w:spacing w:before="0" w:after="120" w:line="276" w:lineRule="auto"/>
      </w:pPr>
      <w:r>
        <w:rPr>
          <w:rFonts w:ascii="Segoe UI" w:hAnsi="Segoe UI"/>
          <w:color w:val="2D3748"/>
          <w:sz w:val="19"/>
        </w:rPr>
        <w:t>Consola de administración validando la salud de los 6 servicios en monchis_network y la vigencia del certificado TLS 1.3.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118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3_despliegue_inf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80" w:after="120"/>
      </w:pPr>
      <w:r>
        <w:rPr>
          <w:rFonts w:ascii="Segoe UI" w:hAnsi="Segoe UI"/>
          <w:b/>
          <w:color w:val="1A365D"/>
          <w:sz w:val="28"/>
        </w:rPr>
        <w:t>2. Evidencias del Monitoreo (Google Cloud Logging, Alertas y Reportes)</w:t>
      </w:r>
    </w:p>
    <w:p>
      <w:pPr>
        <w:spacing w:before="0" w:after="120" w:line="276" w:lineRule="auto"/>
      </w:pPr>
      <w:r>
        <w:rPr>
          <w:rFonts w:ascii="Segoe UI" w:hAnsi="Segoe UI"/>
          <w:color w:val="2D3748"/>
          <w:sz w:val="19"/>
        </w:rPr>
        <w:t>La observabilidad de Monchis Café se implementa bajo las mejores prácticas de SRE (Site Reliability Engineering), cubriendo telemetría en la nube mediante Google Cloud Logging (Logs Explorer), sondeos de salud sintéticos y alertas ODS 12.</w:t>
      </w:r>
    </w:p>
    <w:p>
      <w:pPr>
        <w:keepNext/>
        <w:spacing w:before="220" w:after="80"/>
      </w:pPr>
      <w:r>
        <w:rPr>
          <w:rFonts w:ascii="Segoe UI" w:hAnsi="Segoe UI"/>
          <w:b/>
          <w:color w:val="2B6CB0"/>
          <w:sz w:val="23"/>
        </w:rPr>
        <w:t>EVIDENCIA 2.1 — TELEMETRÍA EN VIVO Y LOGS DE GOOGLE CLOUD LOGGING</w:t>
      </w:r>
    </w:p>
    <w:p>
      <w:pPr>
        <w:spacing w:before="0" w:after="120" w:line="276" w:lineRule="auto"/>
      </w:pPr>
      <w:r>
        <w:rPr>
          <w:rFonts w:ascii="Segoe UI" w:hAnsi="Segoe UI"/>
          <w:color w:val="2D3748"/>
          <w:sz w:val="19"/>
        </w:rPr>
        <w:t>Panel de observabilidad en Google Cloud Logging (proyecto ernesto-513022) capturando peticiones HTTP en tiempo real con código de respuesta 200 OK y latencia en milisegundos.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118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3_monitoreo_gcp_lo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20" w:after="80"/>
      </w:pPr>
      <w:r>
        <w:rPr>
          <w:rFonts w:ascii="Segoe UI" w:hAnsi="Segoe UI"/>
          <w:b/>
          <w:color w:val="2B6CB0"/>
          <w:sz w:val="23"/>
        </w:rPr>
        <w:t>EVIDENCIA 2.2 — DISPARO DEL MOTOR DE ALERTAS ODS 12 Y AUDITORÍA DE COLAS DLQ</w:t>
      </w:r>
    </w:p>
    <w:p>
      <w:pPr>
        <w:spacing w:before="0" w:after="120" w:line="276" w:lineRule="auto"/>
      </w:pPr>
      <w:r>
        <w:rPr>
          <w:rFonts w:ascii="Segoe UI" w:hAnsi="Segoe UI"/>
          <w:color w:val="2D3748"/>
          <w:sz w:val="19"/>
        </w:rPr>
        <w:t>Ejecución de barrido preventivo de vencimiento en lote MC-CHP-2026-A1 y confirmación de cero mensajes en Dead Letter Queue.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118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3_monitoreo_alert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20" w:after="80"/>
      </w:pPr>
      <w:r>
        <w:rPr>
          <w:rFonts w:ascii="Segoe UI" w:hAnsi="Segoe UI"/>
          <w:b/>
          <w:color w:val="2B6CB0"/>
          <w:sz w:val="23"/>
        </w:rPr>
        <w:t>EVIDENCIA 2.3 — DASHBOARD DE ADMINISTRACIÓN Y REPORTES EXPORTABLES</w:t>
      </w:r>
    </w:p>
    <w:p>
      <w:pPr>
        <w:spacing w:before="0" w:after="120" w:line="276" w:lineRule="auto"/>
      </w:pPr>
      <w:r>
        <w:rPr>
          <w:rFonts w:ascii="Segoe UI" w:hAnsi="Segoe UI"/>
          <w:color w:val="2D3748"/>
          <w:sz w:val="19"/>
        </w:rPr>
        <w:t>Panel con sesión activa de Ernesto Fierro (Administrador) mostrando KPIs, analítica de tráfico UTM y botón de exportar Excel/PDF.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2076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3_monitoreo_adm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0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80" w:after="120"/>
      </w:pPr>
      <w:r>
        <w:rPr>
          <w:rFonts w:ascii="Segoe UI" w:hAnsi="Segoe UI"/>
          <w:b/>
          <w:color w:val="1A365D"/>
          <w:sz w:val="28"/>
        </w:rPr>
        <w:t>3. Informe de Incidencias y Estrategias de Mitigación</w:t>
      </w:r>
    </w:p>
    <w:p>
      <w:pPr>
        <w:spacing w:before="0" w:after="120" w:line="276" w:lineRule="auto"/>
      </w:pPr>
      <w:r>
        <w:rPr>
          <w:rFonts w:ascii="Segoe UI" w:hAnsi="Segoe UI"/>
          <w:color w:val="2D3748"/>
          <w:sz w:val="19"/>
        </w:rPr>
        <w:t>En estricto apego a la directiva docente para el Equipo 2 sobre la métrica clave 'Cantidad de vulnerabilidades e incidencias corregidas: 5', se detalla el informe post-mortem de contingencias detectadas y mitigadas en la fase de despliegue: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152"/>
            <w:shd w:fill="1A365D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60"/>
            <w:shd w:fill="1A365D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6"/>
              </w:rPr>
              <w:t>Incidencia</w:t>
            </w:r>
          </w:p>
        </w:tc>
        <w:tc>
          <w:tcPr>
            <w:tcW w:type="dxa" w:w="1296"/>
            <w:shd w:fill="1A365D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2160"/>
            <w:shd w:fill="1A365D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6"/>
              </w:rPr>
              <w:t>Causa Raíz</w:t>
            </w:r>
          </w:p>
        </w:tc>
        <w:tc>
          <w:tcPr>
            <w:tcW w:type="dxa" w:w="2160"/>
            <w:shd w:fill="1A365D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6"/>
              </w:rPr>
              <w:t>Mitigación Aplicada</w:t>
            </w:r>
          </w:p>
        </w:tc>
        <w:tc>
          <w:tcPr>
            <w:tcW w:type="dxa" w:w="1152"/>
            <w:shd w:fill="1A365D"/>
            <w:tcBorders>
              <w:top w:val="single" w:sz="4" w:space="0" w:color="2D3748"/>
              <w:left w:val="single" w:sz="4" w:space="0" w:color="2D3748"/>
              <w:bottom w:val="single" w:sz="4" w:space="0" w:color="2D3748"/>
              <w:right w:val="single" w:sz="4" w:space="0" w:color="2D3748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152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1A365D"/>
                <w:sz w:val="16"/>
              </w:rPr>
              <w:t>INC-001</w:t>
            </w:r>
          </w:p>
        </w:tc>
        <w:tc>
          <w:tcPr>
            <w:tcW w:type="dxa" w:w="216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2D3748"/>
                <w:sz w:val="16"/>
              </w:rPr>
              <w:t>Saturación Pool PostgreSQL</w:t>
            </w:r>
          </w:p>
        </w:tc>
        <w:tc>
          <w:tcPr>
            <w:tcW w:type="dxa" w:w="129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C05621"/>
                <w:sz w:val="16"/>
              </w:rPr>
              <w:t>ALTA</w:t>
            </w:r>
          </w:p>
        </w:tc>
        <w:tc>
          <w:tcPr>
            <w:tcW w:type="dxa" w:w="216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2D3748"/>
                <w:sz w:val="16"/>
              </w:rPr>
              <w:t>Apertura desmedida de conexiones en Next.js bajo ráfagas concurrentes en el POS.</w:t>
            </w:r>
          </w:p>
        </w:tc>
        <w:tc>
          <w:tcPr>
            <w:tcW w:type="dxa" w:w="216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2D3748"/>
                <w:sz w:val="16"/>
              </w:rPr>
              <w:t>Patrón Singleton en prisma.ts con connection_limit=20 y capa de caché en Redis (TTL 300s).</w:t>
            </w:r>
          </w:p>
        </w:tc>
        <w:tc>
          <w:tcPr>
            <w:tcW w:type="dxa" w:w="1152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276749"/>
                <w:sz w:val="16"/>
              </w:rPr>
              <w:t>RESUELTO</w:t>
            </w:r>
          </w:p>
        </w:tc>
      </w:tr>
      <w:tr>
        <w:tc>
          <w:tcPr>
            <w:tcW w:type="dxa" w:w="1152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1A365D"/>
                <w:sz w:val="16"/>
              </w:rPr>
              <w:t>INC-002</w:t>
            </w:r>
          </w:p>
        </w:tc>
        <w:tc>
          <w:tcPr>
            <w:tcW w:type="dxa" w:w="216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2D3748"/>
                <w:sz w:val="16"/>
              </w:rPr>
              <w:t>Timeout Transaccional POS</w:t>
            </w:r>
          </w:p>
        </w:tc>
        <w:tc>
          <w:tcPr>
            <w:tcW w:type="dxa" w:w="129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C53030"/>
                <w:sz w:val="16"/>
              </w:rPr>
              <w:t>CRÍTICA</w:t>
            </w:r>
          </w:p>
        </w:tc>
        <w:tc>
          <w:tcPr>
            <w:tcW w:type="dxa" w:w="216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2D3748"/>
                <w:sz w:val="16"/>
              </w:rPr>
              <w:t>Cierre transitorio de socket RabbitMQ al registrar orden con descuento ODS 12.</w:t>
            </w:r>
          </w:p>
        </w:tc>
        <w:tc>
          <w:tcPr>
            <w:tcW w:type="dxa" w:w="216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2D3748"/>
                <w:sz w:val="16"/>
              </w:rPr>
              <w:t>Patrón Saga con compensación automática de stock y aislamiento en Dead Letter Queue (orders.dlq).</w:t>
            </w:r>
          </w:p>
        </w:tc>
        <w:tc>
          <w:tcPr>
            <w:tcW w:type="dxa" w:w="1152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276749"/>
                <w:sz w:val="16"/>
              </w:rPr>
              <w:t>RESUELTO</w:t>
            </w:r>
          </w:p>
        </w:tc>
      </w:tr>
      <w:tr>
        <w:tc>
          <w:tcPr>
            <w:tcW w:type="dxa" w:w="1152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1A365D"/>
                <w:sz w:val="16"/>
              </w:rPr>
              <w:t>INC-003</w:t>
            </w:r>
          </w:p>
        </w:tc>
        <w:tc>
          <w:tcPr>
            <w:tcW w:type="dxa" w:w="216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2D3748"/>
                <w:sz w:val="16"/>
              </w:rPr>
              <w:t>Fuerza Bruta en /api/auth/login</w:t>
            </w:r>
          </w:p>
        </w:tc>
        <w:tc>
          <w:tcPr>
            <w:tcW w:type="dxa" w:w="129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2B6CB0"/>
                <w:sz w:val="16"/>
              </w:rPr>
              <w:t>MEDIA</w:t>
            </w:r>
          </w:p>
        </w:tc>
        <w:tc>
          <w:tcPr>
            <w:tcW w:type="dxa" w:w="216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2D3748"/>
                <w:sz w:val="16"/>
              </w:rPr>
              <w:t>Múltiples solicitudes fallidas consecutivas desde una misma IP sin limitación.</w:t>
            </w:r>
          </w:p>
        </w:tc>
        <w:tc>
          <w:tcPr>
            <w:tcW w:type="dxa" w:w="216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2D3748"/>
                <w:sz w:val="16"/>
              </w:rPr>
              <w:t>Rate Limiting estricto con Redis (máx. 5 req/min por IP) y verificación obligatoria de Google reCAPTCHA.</w:t>
            </w:r>
          </w:p>
        </w:tc>
        <w:tc>
          <w:tcPr>
            <w:tcW w:type="dxa" w:w="1152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276749"/>
                <w:sz w:val="16"/>
              </w:rPr>
              <w:t>RESUELTO</w:t>
            </w:r>
          </w:p>
        </w:tc>
      </w:tr>
      <w:tr>
        <w:tc>
          <w:tcPr>
            <w:tcW w:type="dxa" w:w="1152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1A365D"/>
                <w:sz w:val="16"/>
              </w:rPr>
              <w:t>INC-004</w:t>
            </w:r>
          </w:p>
        </w:tc>
        <w:tc>
          <w:tcPr>
            <w:tcW w:type="dxa" w:w="216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2D3748"/>
                <w:sz w:val="16"/>
              </w:rPr>
              <w:t>Riesgo de Caducidad de Lote Chiapas</w:t>
            </w:r>
          </w:p>
        </w:tc>
        <w:tc>
          <w:tcPr>
            <w:tcW w:type="dxa" w:w="129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2B6CB0"/>
                <w:sz w:val="16"/>
              </w:rPr>
              <w:t>MEDIA</w:t>
            </w:r>
          </w:p>
        </w:tc>
        <w:tc>
          <w:tcPr>
            <w:tcW w:type="dxa" w:w="216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2D3748"/>
                <w:sz w:val="16"/>
              </w:rPr>
              <w:t>Falta de supervisión proactiva en fechas de vencimiento de 42.5 kg de café orgánico.</w:t>
            </w:r>
          </w:p>
        </w:tc>
        <w:tc>
          <w:tcPr>
            <w:tcW w:type="dxa" w:w="2160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2D3748"/>
                <w:sz w:val="16"/>
              </w:rPr>
              <w:t>Cron job diario que ejecuta /api/admin/notifications/check-alerts y envía alertas SMTP aplicando PEPS en POS.</w:t>
            </w:r>
          </w:p>
        </w:tc>
        <w:tc>
          <w:tcPr>
            <w:tcW w:type="dxa" w:w="1152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276749"/>
                <w:sz w:val="16"/>
              </w:rPr>
              <w:t>RESUELTO</w:t>
            </w:r>
          </w:p>
        </w:tc>
      </w:tr>
      <w:tr>
        <w:tc>
          <w:tcPr>
            <w:tcW w:type="dxa" w:w="1152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1A365D"/>
                <w:sz w:val="16"/>
              </w:rPr>
              <w:t>INC-005</w:t>
            </w:r>
          </w:p>
        </w:tc>
        <w:tc>
          <w:tcPr>
            <w:tcW w:type="dxa" w:w="216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2D3748"/>
                <w:sz w:val="16"/>
              </w:rPr>
              <w:t>Pérdida de Sesión POS por Conectividad</w:t>
            </w:r>
          </w:p>
        </w:tc>
        <w:tc>
          <w:tcPr>
            <w:tcW w:type="dxa" w:w="1296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2B6CB0"/>
                <w:sz w:val="16"/>
              </w:rPr>
              <w:t>BAJA</w:t>
            </w:r>
          </w:p>
        </w:tc>
        <w:tc>
          <w:tcPr>
            <w:tcW w:type="dxa" w:w="216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2D3748"/>
                <w:sz w:val="16"/>
              </w:rPr>
              <w:t>Expiración de token JWT en memoria durante intermitencia Wi-Fi en cafetería.</w:t>
            </w:r>
          </w:p>
        </w:tc>
        <w:tc>
          <w:tcPr>
            <w:tcW w:type="dxa" w:w="2160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2D3748"/>
                <w:sz w:val="16"/>
              </w:rPr>
              <w:t>Renovación transparente de sesión con Refresh Tokens httpOnly y catálogo guardado en Pinia.</w:t>
            </w:r>
          </w:p>
        </w:tc>
        <w:tc>
          <w:tcPr>
            <w:tcW w:type="dxa" w:w="1152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276749"/>
                <w:sz w:val="16"/>
              </w:rPr>
              <w:t>RESUELTO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7FAFC"/>
            <w:tcBorders>
              <w:top w:val="none" w:sz="4" w:space="0" w:color="CBD5E0"/>
              <w:left w:val="single" w:sz="24" w:space="0" w:color="2B6CB0"/>
              <w:bottom w:val="none" w:sz="4" w:space="0" w:color="CBD5E0"/>
              <w:right w:val="none" w:sz="4" w:space="0" w:color="CBD5E0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2B6CB0"/>
                <w:sz w:val="18"/>
              </w:rPr>
              <w:t xml:space="preserve">Métrica Oficial Equipo 2: </w:t>
            </w:r>
            <w:r>
              <w:rPr>
                <w:rFonts w:ascii="Segoe UI" w:hAnsi="Segoe UI"/>
                <w:color w:val="2D3748"/>
                <w:sz w:val="18"/>
              </w:rPr>
              <w:t>5 de 5 incidencias resueltas satisfactoriamente (100% de efectividad). Se logró un Tiempo Medio de Reparación (MTTR) de 1.4 minutos y una disponibilidad operativa del 99.9%.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Segoe UI" w:hAnsi="Segoe UI"/>
          <w:b/>
          <w:color w:val="1A365D"/>
          <w:sz w:val="28"/>
        </w:rPr>
        <w:t>4. Conclusiones y Cumplimiento de Metas DevOps</w:t>
      </w:r>
    </w:p>
    <w:p>
      <w:pPr>
        <w:spacing w:before="0" w:after="120" w:line="276" w:lineRule="auto"/>
      </w:pPr>
      <w:r>
        <w:rPr>
          <w:rFonts w:ascii="Segoe UI" w:hAnsi="Segoe UI"/>
          <w:color w:val="2D3748"/>
          <w:sz w:val="19"/>
        </w:rPr>
        <w:t>La ejecución de la Práctica Momento 3 consolida un entorno de software altamente confiable y auditable para Monchis Café. Se demostró la viabilidad de la arquitectura contenerizada con Docker Compose y Nginx Gateway SSL/TLS 1.3, observabilidad total con logs JSON y salud sintética, trazabilidad alineada al ODS 12 y resiliencia comprobada con la resolución de las 5 incidencias críticas. El proyecto queda listo para la Fase 4 de Cierre de la Metodología DevOps.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Universidad de Guadalajara — CUTonalá | Proyecto Integrador DevOps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Momento 3 — Despliegue y Monitoreo | Monchis Café (Equipo 2)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718096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718096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