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4E79"/>
          <w:sz w:val="20"/>
        </w:rPr>
        <w:t>ACTIVIDAD DE PARTICIPACIÓN — TABLA COMPARATIVA</w:t>
      </w:r>
    </w:p>
    <w:p>
      <w:pPr>
        <w:spacing w:after="120"/>
        <w:jc w:val="center"/>
      </w:pPr>
      <w:r>
        <w:rPr>
          <w:rFonts w:ascii="Calibri" w:hAnsi="Calibri"/>
          <w:b/>
          <w:color w:val="1F4E79"/>
          <w:sz w:val="34"/>
        </w:rPr>
        <w:t>Buenas Prácticas de Calidad en Aplicaciones de Software</w:t>
      </w:r>
    </w:p>
    <w:p>
      <w:pPr>
        <w:spacing w:after="280"/>
        <w:jc w:val="center"/>
      </w:pPr>
      <w:r>
        <w:rPr>
          <w:rFonts w:ascii="Calibri" w:hAnsi="Calibri"/>
          <w:i/>
          <w:color w:val="505050"/>
          <w:sz w:val="22"/>
        </w:rPr>
        <w:t>Análisis Teórico y Propuesta Aplicada al Proyecto: Monchis Café</w:t>
      </w:r>
    </w:p>
    <w:tbl>
      <w:tblPr>
        <w:tblW w:type="auto" w:w="0"/>
        <w:jc w:val="center"/>
        <w:tblLayout w:type="fixed"/>
        <w:tblLook w:firstColumn="1" w:firstRow="1" w:lastColumn="0" w:lastRow="0" w:noHBand="0" w:noVBand="1" w:val="04A0"/>
      </w:tblPr>
      <w:tblGrid>
        <w:gridCol w:w="4968"/>
        <w:gridCol w:w="4968"/>
      </w:tblGrid>
      <w:tr>
        <w:tc>
          <w:tcPr>
            <w:tcW w:type="dxa" w:w="4896"/>
            <w:shd w:fill="F2F5F8"/>
            <w:tcMar>
              <w:top w:w="100" w:type="dxa"/>
              <w:bottom w:w="100" w:type="dxa"/>
              <w:left w:w="140" w:type="dxa"/>
              <w:right w:w="140" w:type="dxa"/>
            </w:tcMar>
          </w:tcPr>
          <w:p>
            <w:pPr>
              <w:spacing w:after="0" w:line="276" w:lineRule="auto"/>
            </w:pPr>
            <w:r>
              <w:rPr>
                <w:b/>
                <w:color w:val="1F4E79"/>
                <w:sz w:val="19"/>
              </w:rPr>
              <w:t>Materia / Asignatura:</w:t>
            </w:r>
            <w:r>
              <w:rPr>
                <w:color w:val="323232"/>
                <w:sz w:val="19"/>
              </w:rPr>
              <w:t xml:space="preserve"> Buenas Prácticas de Calidad (Aplicaciones de Software)</w:t>
            </w:r>
          </w:p>
        </w:tc>
        <w:tc>
          <w:tcPr>
            <w:tcW w:type="dxa" w:w="5040"/>
            <w:shd w:fill="F2F5F8"/>
            <w:tcMar>
              <w:top w:w="100" w:type="dxa"/>
              <w:bottom w:w="100" w:type="dxa"/>
              <w:left w:w="140" w:type="dxa"/>
              <w:right w:w="140" w:type="dxa"/>
            </w:tcMar>
          </w:tcPr>
          <w:p>
            <w:pPr>
              <w:spacing w:after="0" w:line="276" w:lineRule="auto"/>
            </w:pPr>
            <w:r>
              <w:rPr>
                <w:b/>
                <w:color w:val="1F4E79"/>
                <w:sz w:val="19"/>
              </w:rPr>
              <w:t>Docente:</w:t>
            </w:r>
            <w:r>
              <w:rPr>
                <w:color w:val="323232"/>
                <w:sz w:val="19"/>
              </w:rPr>
              <w:t xml:space="preserve"> Dr. Gabriel Navarro Salcedo</w:t>
            </w:r>
          </w:p>
        </w:tc>
      </w:tr>
      <w:tr>
        <w:tc>
          <w:tcPr>
            <w:tcW w:type="dxa" w:w="4896"/>
            <w:shd w:fill="F2F5F8"/>
            <w:tcMar>
              <w:top w:w="100" w:type="dxa"/>
              <w:bottom w:w="100" w:type="dxa"/>
              <w:left w:w="140" w:type="dxa"/>
              <w:right w:w="140" w:type="dxa"/>
            </w:tcMar>
          </w:tcPr>
          <w:p>
            <w:pPr>
              <w:spacing w:after="0" w:line="276" w:lineRule="auto"/>
            </w:pPr>
            <w:r>
              <w:rPr>
                <w:b/>
                <w:color w:val="1F4E79"/>
                <w:sz w:val="19"/>
              </w:rPr>
              <w:t>Alumno / Autor:</w:t>
            </w:r>
            <w:r>
              <w:rPr>
                <w:color w:val="323232"/>
                <w:sz w:val="19"/>
              </w:rPr>
              <w:t xml:space="preserve"> Ernesto Fierro Moreno (Individual)</w:t>
            </w:r>
          </w:p>
        </w:tc>
        <w:tc>
          <w:tcPr>
            <w:tcW w:type="dxa" w:w="5040"/>
            <w:shd w:fill="F2F5F8"/>
            <w:tcMar>
              <w:top w:w="100" w:type="dxa"/>
              <w:bottom w:w="100" w:type="dxa"/>
              <w:left w:w="140" w:type="dxa"/>
              <w:right w:w="140" w:type="dxa"/>
            </w:tcMar>
          </w:tcPr>
          <w:p>
            <w:pPr>
              <w:spacing w:after="0" w:line="276" w:lineRule="auto"/>
            </w:pPr>
            <w:r>
              <w:rPr>
                <w:b/>
                <w:color w:val="1F4E79"/>
                <w:sz w:val="19"/>
              </w:rPr>
              <w:t>Fecha de Entrega:</w:t>
            </w:r>
            <w:r>
              <w:rPr>
                <w:color w:val="323232"/>
                <w:sz w:val="19"/>
              </w:rPr>
              <w:t xml:space="preserve"> 14 de Septiembre de 2026 (23:59 hrs)</w:t>
            </w:r>
          </w:p>
        </w:tc>
      </w:tr>
    </w:tbl>
    <w:p>
      <w:pPr>
        <w:spacing w:before="160" w:after="120"/>
      </w:pPr>
    </w:p>
    <w:p>
      <w:pPr>
        <w:spacing w:after="240" w:line="276" w:lineRule="auto"/>
        <w:jc w:val="both"/>
      </w:pPr>
      <w:r>
        <w:t xml:space="preserve">El presente documento expone una tabla comparativa exhaustiva que aborda los ocho componentes clave del ciclo de vida y calidad en el desarrollo de software. En la primera columna se establece la fundamentación conceptual y teórica de cada fase según estándares de ingeniería de software; en la segunda columna se formula y analiza una propuesta de implementación concreta y aplicada a nuestro proyecto de titulación: </w:t>
      </w:r>
      <w:r>
        <w:rPr>
          <w:b/>
          <w:color w:val="1F4E79"/>
        </w:rPr>
        <w:t>Monchis Café — Plataforma Web Segura para Cafetería Orgánica y Comercial</w:t>
      </w:r>
      <w:r>
        <w:t>, sustentada en arquitectura Monorepo (Vue 3 + Next.js), transacciones asíncronas con RabbitMQ (Patrón Saga), seguridad stateless con JWT y reCAPTCHA, y trazabilidad de lotes agrícolas.</w:t>
      </w:r>
    </w:p>
    <w:tbl>
      <w:tblPr>
        <w:tblW w:type="auto" w:w="0"/>
        <w:jc w:val="center"/>
        <w:tblLayout w:type="fixed"/>
        <w:tblLook w:firstColumn="1" w:firstRow="1" w:lastColumn="0" w:lastRow="0" w:noHBand="0" w:noVBand="1" w:val="04A0"/>
        <w:tblBorders>
          <w:top w:val="single" w:sz="6" w:space="0" w:color="D0D7DE"/>
          <w:bottom w:val="single" w:sz="6" w:space="0" w:color="D0D7DE"/>
          <w:insideH w:val="single" w:sz="4" w:space="0" w:color="D0D7DE"/>
          <w:insideV w:val="none"/>
          <w:left w:val="none"/>
          <w:right w:val="none"/>
        </w:tblBorders>
      </w:tblPr>
      <w:tblGrid>
        <w:gridCol w:w="4968"/>
        <w:gridCol w:w="4968"/>
      </w:tblGrid>
      <w:tr>
        <w:tc>
          <w:tcPr>
            <w:tcW w:type="dxa" w:w="3888"/>
            <w:shd w:fill="1F4E79"/>
            <w:tcMar>
              <w:top w:w="160" w:type="dxa"/>
              <w:bottom w:w="160" w:type="dxa"/>
              <w:left w:w="160" w:type="dxa"/>
              <w:right w:w="160" w:type="dxa"/>
            </w:tcMar>
          </w:tcPr>
          <w:p>
            <w:pPr>
              <w:spacing w:after="0"/>
              <w:jc w:val="center"/>
            </w:pPr>
            <w:r>
              <w:rPr>
                <w:rFonts w:ascii="Calibri" w:hAnsi="Calibri"/>
                <w:b/>
                <w:color w:val="FFFFFF"/>
                <w:sz w:val="20"/>
              </w:rPr>
              <w:t>ELEMENTO Y DEFINICIÓN CONCEPTUAL</w:t>
              <w:br/>
              <w:t>(Buenas Prácticas de Ingeniería)</w:t>
            </w:r>
          </w:p>
        </w:tc>
        <w:tc>
          <w:tcPr>
            <w:tcW w:type="dxa" w:w="6048"/>
            <w:shd w:fill="1F4E79"/>
            <w:tcMar>
              <w:top w:w="160" w:type="dxa"/>
              <w:bottom w:w="160" w:type="dxa"/>
              <w:left w:w="160" w:type="dxa"/>
              <w:right w:w="160" w:type="dxa"/>
            </w:tcMar>
          </w:tcPr>
          <w:p>
            <w:pPr>
              <w:spacing w:after="0"/>
              <w:jc w:val="center"/>
            </w:pPr>
            <w:r>
              <w:rPr>
                <w:rFonts w:ascii="Calibri" w:hAnsi="Calibri"/>
                <w:b/>
                <w:color w:val="FFFFFF"/>
                <w:sz w:val="20"/>
              </w:rPr>
              <w:t>ANÁLISIS E IDEA APLICADA AL PROYECTO</w:t>
              <w:br/>
              <w:t>(Monchis Café: Plataforma Web Segura)</w:t>
            </w:r>
          </w:p>
        </w:tc>
      </w:tr>
      <w:tr>
        <w:tc>
          <w:tcPr>
            <w:tcW w:type="dxa" w:w="3888"/>
            <w:shd w:fill="FBFBFD"/>
            <w:tcMar>
              <w:top w:w="120" w:type="dxa"/>
              <w:bottom w:w="120" w:type="dxa"/>
              <w:left w:w="140" w:type="dxa"/>
              <w:right w:w="140" w:type="dxa"/>
            </w:tcMar>
          </w:tcPr>
          <w:p>
            <w:pPr>
              <w:spacing w:after="80" w:line="276" w:lineRule="auto"/>
              <w:jc w:val="left"/>
            </w:pPr>
            <w:r>
              <w:rPr>
                <w:rFonts w:ascii="Calibri" w:hAnsi="Calibri"/>
                <w:b/>
                <w:color w:val="1F4E79"/>
                <w:sz w:val="21"/>
              </w:rPr>
              <w:t>2.1 Refinamiento del análisis y las estimaciones</w:t>
              <w:br/>
            </w:r>
            <w:r>
              <w:rPr>
                <w:rFonts w:ascii="Calibri" w:hAnsi="Calibri"/>
                <w:color w:val="323232"/>
                <w:sz w:val="19"/>
              </w:rPr>
              <w:t>Proceso iterativo dentro de marcos ágiles (Scrum/Kanban) en el cual los requerimientos del producto (historias de usuario, criterios de aceptación, dependencias técnicas y requerimientos no funcionales) se desglosan, clarifican y reevalúan continuamente.</w:t>
              <w:br/>
              <w:br/>
              <w:t>Su objetivo es mitigar la incertidumbre técnica y de negocio, permitiendo recalibrar las estimaciones de esfuerzo, costo y cronograma (mediante Story Points, Planning Poker o T-shirt Sizing) antes de comprometer los ítems a un Sprint de desarrollo.</w:t>
            </w:r>
          </w:p>
        </w:tc>
        <w:tc>
          <w:tcPr>
            <w:tcW w:type="dxa" w:w="6048"/>
            <w:shd w:fill="FBFBFD"/>
            <w:tcMar>
              <w:top w:w="120" w:type="dxa"/>
              <w:bottom w:w="120" w:type="dxa"/>
              <w:left w:w="140" w:type="dxa"/>
              <w:right w:w="140" w:type="dxa"/>
            </w:tcMar>
          </w:tcPr>
          <w:p>
            <w:pPr>
              <w:spacing w:after="80" w:line="276" w:lineRule="auto"/>
              <w:jc w:val="both"/>
            </w:pPr>
            <w:r>
              <w:rPr>
                <w:rFonts w:ascii="Calibri" w:hAnsi="Calibri"/>
                <w:b/>
                <w:color w:val="464646"/>
                <w:sz w:val="19"/>
              </w:rPr>
              <w:t>Aplicación al Sistema Monchis Café:</w:t>
              <w:br/>
            </w:r>
            <w:r>
              <w:rPr>
                <w:rFonts w:ascii="Calibri" w:hAnsi="Calibri"/>
                <w:color w:val="282828"/>
                <w:sz w:val="19"/>
              </w:rPr>
              <w:t>• Épica Focal: Transacciones Distribuidas en el Punto de Venta (POS).</w:t>
              <w:br/>
              <w:t>• Refinamiento Aplicado: La historia inicial de 'Cobro y Reversa' presentaba alta incertidumbre. Se refinó dividiéndola en tres historias de usuario atómicas con criterios de aceptación en formato Given-When-Then:</w:t>
              <w:br/>
              <w:t xml:space="preserve">  1) Encolamiento de eventos de venta en RabbitMQ.</w:t>
              <w:br/>
              <w:t xml:space="preserve">  2) Orquestación del Patrón Saga para reversas automáticas si se agotan los granos de café orgánico.</w:t>
              <w:br/>
              <w:t xml:space="preserve">  3) Rutina de reintentos exponenciales y Dead Letter Queue (DLQ).</w:t>
              <w:br/>
              <w:t>• Estimación: Se redujo la dispersión de estimación de 13 a 3 Story Points por ítem, garantizando entregables medibles y verificables en cada iteración del monorepo.</w:t>
            </w:r>
          </w:p>
        </w:tc>
      </w:tr>
      <w:tr>
        <w:tc>
          <w:tcPr>
            <w:tcW w:type="dxa" w:w="3888"/>
            <w:shd w:fill="FFFFFF"/>
            <w:tcMar>
              <w:top w:w="120" w:type="dxa"/>
              <w:bottom w:w="120" w:type="dxa"/>
              <w:left w:w="140" w:type="dxa"/>
              <w:right w:w="140" w:type="dxa"/>
            </w:tcMar>
          </w:tcPr>
          <w:p>
            <w:pPr>
              <w:spacing w:after="80" w:line="276" w:lineRule="auto"/>
              <w:jc w:val="left"/>
            </w:pPr>
            <w:r>
              <w:rPr>
                <w:rFonts w:ascii="Calibri" w:hAnsi="Calibri"/>
                <w:b/>
                <w:color w:val="1F4E79"/>
                <w:sz w:val="21"/>
              </w:rPr>
              <w:t>2.2 Refinamiento de capas y de base de datos</w:t>
              <w:br/>
            </w:r>
            <w:r>
              <w:rPr>
                <w:rFonts w:ascii="Calibri" w:hAnsi="Calibri"/>
                <w:color w:val="323232"/>
                <w:sz w:val="19"/>
              </w:rPr>
              <w:t>Optimización y formalización de la arquitectura multicapa (presentación, lógica de negocio, servicios y persistencia) junto con el modelado del esquema de la base de datos relacional/no relacional.</w:t>
              <w:br/>
              <w:br/>
              <w:t>Comprende la normalización estratégica (3FN) frente a la desnormalización para lectura rápida, definición de índices compuestos, llaves foráneas, integridad referencial, transaccionalidad ACID y aislamiento, evitando cuellos de botella y acoplamiento perjudicial entre subsistemas.</w:t>
            </w:r>
          </w:p>
        </w:tc>
        <w:tc>
          <w:tcPr>
            <w:tcW w:type="dxa" w:w="6048"/>
            <w:shd w:fill="FFFFFF"/>
            <w:tcMar>
              <w:top w:w="120" w:type="dxa"/>
              <w:bottom w:w="120" w:type="dxa"/>
              <w:left w:w="140" w:type="dxa"/>
              <w:right w:w="140" w:type="dxa"/>
            </w:tcMar>
          </w:tcPr>
          <w:p>
            <w:pPr>
              <w:spacing w:after="80" w:line="276" w:lineRule="auto"/>
              <w:jc w:val="both"/>
            </w:pPr>
            <w:r>
              <w:rPr>
                <w:rFonts w:ascii="Calibri" w:hAnsi="Calibri"/>
                <w:b/>
                <w:color w:val="464646"/>
                <w:sz w:val="19"/>
              </w:rPr>
              <w:t>Aplicación al Sistema Monchis Café:</w:t>
              <w:br/>
            </w:r>
            <w:r>
              <w:rPr>
                <w:rFonts w:ascii="Calibri" w:hAnsi="Calibri"/>
                <w:color w:val="282828"/>
                <w:sz w:val="19"/>
              </w:rPr>
              <w:t>• Base de Datos (PostgreSQL + Prisma ORM):</w:t>
              <w:br/>
              <w:t xml:space="preserve">  - Refinamiento de esquema: Se aisló el catálogo comercial del orgánico creando la entidad específica `LoteOrganico` vinculada a `Producto`, con índices en `fecha_caducidad`, `finca_origen` y `numero_lote` para agilizar búsquedas de trazabilidad y alertas de merma.</w:t>
              <w:br/>
              <w:t xml:space="preserve">  - Concurrencia POS: Implementación de transacciones con bloqueo pesimista/optimista al descontar inventario en caja.</w:t>
              <w:br/>
              <w:t>• Refinamiento de Capas:</w:t>
              <w:br/>
              <w:t xml:space="preserve">  - Desacoplamiento estricto: Capa de Presentación (Vue 3/Pinia) se comunica exclusivamente con la Capa de APIs (Next.js Routes) mediante DTOs tipados. Se incorporó una capa de eventos intermediaria gobernada por RabbitMQ para evitar que caídas de red bloqueen el checkout presencial.</w:t>
            </w:r>
          </w:p>
        </w:tc>
      </w:tr>
      <w:tr>
        <w:tc>
          <w:tcPr>
            <w:tcW w:type="dxa" w:w="3888"/>
            <w:shd w:fill="FBFBFD"/>
            <w:tcMar>
              <w:top w:w="120" w:type="dxa"/>
              <w:bottom w:w="120" w:type="dxa"/>
              <w:left w:w="140" w:type="dxa"/>
              <w:right w:w="140" w:type="dxa"/>
            </w:tcMar>
          </w:tcPr>
          <w:p>
            <w:pPr>
              <w:spacing w:after="80" w:line="276" w:lineRule="auto"/>
              <w:jc w:val="left"/>
            </w:pPr>
            <w:r>
              <w:rPr>
                <w:rFonts w:ascii="Calibri" w:hAnsi="Calibri"/>
                <w:b/>
                <w:color w:val="1F4E79"/>
                <w:sz w:val="21"/>
              </w:rPr>
              <w:t>2.3 Diseño de interfaces</w:t>
              <w:br/>
            </w:r>
            <w:r>
              <w:rPr>
                <w:rFonts w:ascii="Calibri" w:hAnsi="Calibri"/>
                <w:color w:val="323232"/>
                <w:sz w:val="19"/>
              </w:rPr>
              <w:t>Fase de ingeniería de software orientada a la experiencia del usuario (UX) y el diseño visual (UI), garantizando accesibilidad (normas WCAG 2.1), consistencia estética, ergonomía cognitiva y respuesta ágil.</w:t>
              <w:br/>
              <w:br/>
              <w:t>Abarca la elaboración de flujos de interacción, prototipos de baja y alta fidelidad (wireframes en Figma) y la consolidación de un Sistema de Diseño (Design System) con tokens de diseño (colores, espaciados, tipografías y componentes reutilizables).</w:t>
            </w:r>
          </w:p>
        </w:tc>
        <w:tc>
          <w:tcPr>
            <w:tcW w:type="dxa" w:w="6048"/>
            <w:shd w:fill="FBFBFD"/>
            <w:tcMar>
              <w:top w:w="120" w:type="dxa"/>
              <w:bottom w:w="120" w:type="dxa"/>
              <w:left w:w="140" w:type="dxa"/>
              <w:right w:w="140" w:type="dxa"/>
            </w:tcMar>
          </w:tcPr>
          <w:p>
            <w:pPr>
              <w:spacing w:after="80" w:line="276" w:lineRule="auto"/>
              <w:jc w:val="both"/>
            </w:pPr>
            <w:r>
              <w:rPr>
                <w:rFonts w:ascii="Calibri" w:hAnsi="Calibri"/>
                <w:b/>
                <w:color w:val="464646"/>
                <w:sz w:val="19"/>
              </w:rPr>
              <w:t>Aplicación al Sistema Monchis Café:</w:t>
              <w:br/>
            </w:r>
            <w:r>
              <w:rPr>
                <w:rFonts w:ascii="Calibri" w:hAnsi="Calibri"/>
                <w:color w:val="282828"/>
                <w:sz w:val="19"/>
              </w:rPr>
              <w:t>• Design System 'Monchis Warm Pastel':</w:t>
              <w:br/>
              <w:t xml:space="preserve">  - Paleta cromática: Tonos café espresso (#4A2C11), crema suave (#FDFBF7), acentos terracota y verde matcha (#4D7C0F) distintivo para certificar visualmente los productos orgánicos.</w:t>
              <w:br/>
              <w:t xml:space="preserve">  - Tipografía moderna: Combinación de Outfit (encabezados cálidos) e Inter (cuerpo de texto de alta legibilidad).</w:t>
              <w:br/>
              <w:t>• Ergonomía por Perfil:</w:t>
              <w:br/>
              <w:t xml:space="preserve">  - Interfaz POS (Cajero): Optimizada para interacción táctil rápida, botones amplios, selector de métodos de pago mixtos (efectivo, tarjeta, SPEI, puntos Monchis) y respuesta táctil inmediata.</w:t>
              <w:br/>
              <w:t xml:space="preserve">  - Tienda Web y Monchis Rewards: Tarjetas de sellos digitales dinámicos (8vo café gratis) y barra de progreso de lealtad totalmente responsiva en móviles.</w:t>
            </w:r>
          </w:p>
        </w:tc>
      </w:tr>
      <w:tr>
        <w:tc>
          <w:tcPr>
            <w:tcW w:type="dxa" w:w="3888"/>
            <w:shd w:fill="FFFFFF"/>
            <w:tcMar>
              <w:top w:w="120" w:type="dxa"/>
              <w:bottom w:w="120" w:type="dxa"/>
              <w:left w:w="140" w:type="dxa"/>
              <w:right w:w="140" w:type="dxa"/>
            </w:tcMar>
          </w:tcPr>
          <w:p>
            <w:pPr>
              <w:spacing w:after="80" w:line="276" w:lineRule="auto"/>
              <w:jc w:val="left"/>
            </w:pPr>
            <w:r>
              <w:rPr>
                <w:rFonts w:ascii="Calibri" w:hAnsi="Calibri"/>
                <w:b/>
                <w:color w:val="1F4E79"/>
                <w:sz w:val="21"/>
              </w:rPr>
              <w:t>2.4 Programación de las capas</w:t>
              <w:br/>
            </w:r>
            <w:r>
              <w:rPr>
                <w:rFonts w:ascii="Calibri" w:hAnsi="Calibri"/>
                <w:color w:val="323232"/>
                <w:sz w:val="19"/>
              </w:rPr>
              <w:t>Materialización del código fuente estructurado bajo el Principio de Separación de Responsabilidades (SoC) y patrones de arquitectura (Layered Architecture, Clean Architecture, Repository Pattern).</w:t>
              <w:br/>
              <w:br/>
              <w:t>Cada capa encapsula una preocupación única: presentación (interacción y UI), aplicación/negocio (reglas de dominio, cálculos, validaciones) e infraestructura/persistencia (conexión a BD, APIs externas, brokers), comunicándose mediante interfaces y contratos de datos bien definidos.</w:t>
            </w:r>
          </w:p>
        </w:tc>
        <w:tc>
          <w:tcPr>
            <w:tcW w:type="dxa" w:w="6048"/>
            <w:shd w:fill="FFFFFF"/>
            <w:tcMar>
              <w:top w:w="120" w:type="dxa"/>
              <w:bottom w:w="120" w:type="dxa"/>
              <w:left w:w="140" w:type="dxa"/>
              <w:right w:w="140" w:type="dxa"/>
            </w:tcMar>
          </w:tcPr>
          <w:p>
            <w:pPr>
              <w:spacing w:after="80" w:line="276" w:lineRule="auto"/>
              <w:jc w:val="both"/>
            </w:pPr>
            <w:r>
              <w:rPr>
                <w:rFonts w:ascii="Calibri" w:hAnsi="Calibri"/>
                <w:b/>
                <w:color w:val="464646"/>
                <w:sz w:val="19"/>
              </w:rPr>
              <w:t>Aplicación al Sistema Monchis Café:</w:t>
              <w:br/>
            </w:r>
            <w:r>
              <w:rPr>
                <w:rFonts w:ascii="Calibri" w:hAnsi="Calibri"/>
                <w:color w:val="282828"/>
                <w:sz w:val="19"/>
              </w:rPr>
              <w:t>• Monchis Café Monorepo (TypeScript E2E):</w:t>
              <w:br/>
              <w:t xml:space="preserve">  1. Capa de Presentación (`apps/web`): Vistas y componentes en Vue 3 con Composition API (`&lt;script setup&gt;`) y stores reactivos de Pinia (`useCartStore`, `useAuthStore`, `usePosStore`).</w:t>
              <w:br/>
              <w:t xml:space="preserve">  2. Capa de Aplicación (`apps/api`): Handlers en Next.js API Routes que orquestan casos de uso: cálculo de cashback ($1 por cada $10 MXN), aplicación de bonificación ecológica por termo reutilizable (ODS 12) y validación de roles RBAC.</w:t>
              <w:br/>
              <w:t xml:space="preserve">  3. Capa de Infraestructura / Mensajería: Publicadores y consumidores en Node.js que envían eventos `order.completed` hacia el Exchange de RabbitMQ.</w:t>
              <w:br/>
              <w:t xml:space="preserve">  4. Capa de Persistencia: Repositorios tipados utilizando Prisma Client contra PostgreSQL, garantizando cero SQL injection.</w:t>
            </w:r>
          </w:p>
        </w:tc>
      </w:tr>
      <w:tr>
        <w:tc>
          <w:tcPr>
            <w:tcW w:type="dxa" w:w="3888"/>
            <w:shd w:fill="FBFBFD"/>
            <w:tcMar>
              <w:top w:w="120" w:type="dxa"/>
              <w:bottom w:w="120" w:type="dxa"/>
              <w:left w:w="140" w:type="dxa"/>
              <w:right w:w="140" w:type="dxa"/>
            </w:tcMar>
          </w:tcPr>
          <w:p>
            <w:pPr>
              <w:spacing w:after="80" w:line="276" w:lineRule="auto"/>
              <w:jc w:val="left"/>
            </w:pPr>
            <w:r>
              <w:rPr>
                <w:rFonts w:ascii="Calibri" w:hAnsi="Calibri"/>
                <w:b/>
                <w:color w:val="1F4E79"/>
                <w:sz w:val="21"/>
              </w:rPr>
              <w:t>2.5 Consideraciones técnicas</w:t>
              <w:br/>
            </w:r>
            <w:r>
              <w:rPr>
                <w:rFonts w:ascii="Calibri" w:hAnsi="Calibri"/>
                <w:color w:val="323232"/>
                <w:sz w:val="19"/>
              </w:rPr>
              <w:t>Conjunto de restricciones, parámetros no funcionales y decisiones de infraestructura que condicionan la robustez, seguridad, disponibilidad, rendimiento y escalabilidad del software.</w:t>
              <w:br/>
              <w:br/>
              <w:t>Incluye políticas de seguridad (CORS, CSP, mitigación de OWASP Top 10), mecanismos de autenticación y autorización, gestión de fallos, tolerancia a particiones de red, latencia, auditoría y cumplimiento normativo de privacidad de datos.</w:t>
            </w:r>
          </w:p>
        </w:tc>
        <w:tc>
          <w:tcPr>
            <w:tcW w:type="dxa" w:w="6048"/>
            <w:shd w:fill="FBFBFD"/>
            <w:tcMar>
              <w:top w:w="120" w:type="dxa"/>
              <w:bottom w:w="120" w:type="dxa"/>
              <w:left w:w="140" w:type="dxa"/>
              <w:right w:w="140" w:type="dxa"/>
            </w:tcMar>
          </w:tcPr>
          <w:p>
            <w:pPr>
              <w:spacing w:after="80" w:line="276" w:lineRule="auto"/>
              <w:jc w:val="both"/>
            </w:pPr>
            <w:r>
              <w:rPr>
                <w:rFonts w:ascii="Calibri" w:hAnsi="Calibri"/>
                <w:b/>
                <w:color w:val="464646"/>
                <w:sz w:val="19"/>
              </w:rPr>
              <w:t>Aplicación al Sistema Monchis Café:</w:t>
              <w:br/>
            </w:r>
            <w:r>
              <w:rPr>
                <w:rFonts w:ascii="Calibri" w:hAnsi="Calibri"/>
                <w:color w:val="282828"/>
                <w:sz w:val="19"/>
              </w:rPr>
              <w:t>• Seguridad Robusta:</w:t>
              <w:br/>
              <w:t xml:space="preserve">  - Autenticación Stateless: JWT de corta duración (15 min) en memoria + Refresh Token (7 días) en cookie segura `httpOnly, Secure, SameSite=Strict` con rotación automática.</w:t>
              <w:br/>
              <w:t xml:space="preserve">  - Protección Anti-Bot: Integración obligatoria de Google reCAPTCHA v2/v3 en login, registro y checkout.</w:t>
              <w:br/>
              <w:t xml:space="preserve">  - Cero Hardcoding: Cifrado y gestión estricta de variables de entorno (`.env`) en backend y Docker.</w:t>
              <w:br/>
              <w:t>• Tolerancia a Fallos y Resiliencia:</w:t>
              <w:br/>
              <w:t xml:space="preserve">  - Manejo de caídas en RabbitMQ mediante colas de mensajes fallidos (Dead Letter Queue - DLQ) y reintentos escalonados (10s, 60s, 300s) con alerta SMTP automática al administrador.</w:t>
              <w:br/>
              <w:t>• Rendimiento: Prerenderizado estático con `vite-ssg` para catálogo público asegurando tiempos de carga &lt; 1 segundo.</w:t>
            </w:r>
          </w:p>
        </w:tc>
      </w:tr>
      <w:tr>
        <w:tc>
          <w:tcPr>
            <w:tcW w:type="dxa" w:w="3888"/>
            <w:shd w:fill="FFFFFF"/>
            <w:tcMar>
              <w:top w:w="120" w:type="dxa"/>
              <w:bottom w:w="120" w:type="dxa"/>
              <w:left w:w="140" w:type="dxa"/>
              <w:right w:w="140" w:type="dxa"/>
            </w:tcMar>
          </w:tcPr>
          <w:p>
            <w:pPr>
              <w:spacing w:after="80" w:line="276" w:lineRule="auto"/>
              <w:jc w:val="left"/>
            </w:pPr>
            <w:r>
              <w:rPr>
                <w:rFonts w:ascii="Calibri" w:hAnsi="Calibri"/>
                <w:b/>
                <w:color w:val="1F4E79"/>
                <w:sz w:val="21"/>
              </w:rPr>
              <w:t>2.6 Estructura y componentes de las aplicaciones</w:t>
              <w:br/>
            </w:r>
            <w:r>
              <w:rPr>
                <w:rFonts w:ascii="Calibri" w:hAnsi="Calibri"/>
                <w:color w:val="323232"/>
                <w:sz w:val="19"/>
              </w:rPr>
              <w:t>Organización lógica y física del árbol del proyecto, jerarquía de directorios, empaquetado de dependencias y descomposición del sistema en componentes autónomos, cohesivos y con bajo acoplamiento.</w:t>
              <w:br/>
              <w:br/>
              <w:t>Fomenta la reutilización de código, la mantenibilidad modular, el mantenimiento independiente de módulos y la consistencia entre los diferentes subsistemas de una organización.</w:t>
            </w:r>
          </w:p>
        </w:tc>
        <w:tc>
          <w:tcPr>
            <w:tcW w:type="dxa" w:w="6048"/>
            <w:shd w:fill="FFFFFF"/>
            <w:tcMar>
              <w:top w:w="120" w:type="dxa"/>
              <w:bottom w:w="120" w:type="dxa"/>
              <w:left w:w="140" w:type="dxa"/>
              <w:right w:w="140" w:type="dxa"/>
            </w:tcMar>
          </w:tcPr>
          <w:p>
            <w:pPr>
              <w:spacing w:after="80" w:line="276" w:lineRule="auto"/>
              <w:jc w:val="both"/>
            </w:pPr>
            <w:r>
              <w:rPr>
                <w:rFonts w:ascii="Calibri" w:hAnsi="Calibri"/>
                <w:b/>
                <w:color w:val="464646"/>
                <w:sz w:val="19"/>
              </w:rPr>
              <w:t>Aplicación al Sistema Monchis Café:</w:t>
              <w:br/>
            </w:r>
            <w:r>
              <w:rPr>
                <w:rFonts w:ascii="Calibri" w:hAnsi="Calibri"/>
                <w:color w:val="282828"/>
                <w:sz w:val="19"/>
              </w:rPr>
              <w:t>• Arquitectura Monorepo con PNPM Workspaces y Turborepo:</w:t>
              <w:br/>
              <w:t xml:space="preserve">  ├── `apps/web`: Cliente frontend en Vue 3 + Vite + Tailwind/CSS.</w:t>
              <w:br/>
              <w:t xml:space="preserve">  ├── `apps/api`: Servidor backend y rutas API en Next.js.</w:t>
              <w:br/>
              <w:t xml:space="preserve">  ├── `packages/ui`: Librería interna de componentes visuales compartidos (botones, modales, badges de caducidad, tablas).</w:t>
              <w:br/>
              <w:t xml:space="preserve">  ├── `packages/shared`: Modelos de dominio, validadores Zod y tipos TypeScript compartidos para lograr seguridad de tipos End-to-End sin duplicidad de definiciones.</w:t>
              <w:br/>
              <w:t>• Modularización Interna: Cada app divide sus dominios en: `auth`, `pos`, `inventario`, `fidelizacion` y `admin`.</w:t>
            </w:r>
          </w:p>
        </w:tc>
      </w:tr>
      <w:tr>
        <w:tc>
          <w:tcPr>
            <w:tcW w:type="dxa" w:w="3888"/>
            <w:shd w:fill="FBFBFD"/>
            <w:tcMar>
              <w:top w:w="120" w:type="dxa"/>
              <w:bottom w:w="120" w:type="dxa"/>
              <w:left w:w="140" w:type="dxa"/>
              <w:right w:w="140" w:type="dxa"/>
            </w:tcMar>
          </w:tcPr>
          <w:p>
            <w:pPr>
              <w:spacing w:after="80" w:line="276" w:lineRule="auto"/>
              <w:jc w:val="left"/>
            </w:pPr>
            <w:r>
              <w:rPr>
                <w:rFonts w:ascii="Calibri" w:hAnsi="Calibri"/>
                <w:b/>
                <w:color w:val="1F4E79"/>
                <w:sz w:val="21"/>
              </w:rPr>
              <w:t>2.7 Mapas de sitio</w:t>
              <w:br/>
            </w:r>
            <w:r>
              <w:rPr>
                <w:rFonts w:ascii="Calibri" w:hAnsi="Calibri"/>
                <w:color w:val="323232"/>
                <w:sz w:val="19"/>
              </w:rPr>
              <w:t>Representación gráfica y jerárquica de la arquitectura de información y las rutas de navegación de una aplicación web.</w:t>
              <w:br/>
              <w:br/>
              <w:t>Define la relación entre páginas, niveles de profundidad, control de acceso por roles (público vs. restringido) y proporciona el plano para el diseño del menú de navegación, rutas del cliente (routers) y el archivo formal `sitemap.xml` para optimización en motores de búsqueda (SEO).</w:t>
            </w:r>
          </w:p>
        </w:tc>
        <w:tc>
          <w:tcPr>
            <w:tcW w:type="dxa" w:w="6048"/>
            <w:shd w:fill="FBFBFD"/>
            <w:tcMar>
              <w:top w:w="120" w:type="dxa"/>
              <w:bottom w:w="120" w:type="dxa"/>
              <w:left w:w="140" w:type="dxa"/>
              <w:right w:w="140" w:type="dxa"/>
            </w:tcMar>
          </w:tcPr>
          <w:p>
            <w:pPr>
              <w:spacing w:after="80" w:line="276" w:lineRule="auto"/>
              <w:jc w:val="both"/>
            </w:pPr>
            <w:r>
              <w:rPr>
                <w:rFonts w:ascii="Calibri" w:hAnsi="Calibri"/>
                <w:b/>
                <w:color w:val="464646"/>
                <w:sz w:val="19"/>
              </w:rPr>
              <w:t>Aplicación al Sistema Monchis Café:</w:t>
              <w:br/>
            </w:r>
            <w:r>
              <w:rPr>
                <w:rFonts w:ascii="Calibri" w:hAnsi="Calibri"/>
                <w:color w:val="282828"/>
                <w:sz w:val="19"/>
              </w:rPr>
              <w:t>• Árbol de Rutas y Accesos en Monchis Café:</w:t>
              <w:br/>
              <w:t xml:space="preserve">  1. Zona Pública (SEO Indexable con `sitemap.xml`):</w:t>
              <w:br/>
              <w:t xml:space="preserve">     - `/` (Home / Historia y ODS) ➔ `/menu` (Catálogo orgánico y comercial) ➔ `/origen` (Trazabilidad de fincas) ➔ `/rewards` (Programa Monchis Rewards) ➔ `/auth/login` y `/auth/registro`.</w:t>
              <w:br/>
              <w:t xml:space="preserve">  2. Zona Operativa POS (Acceso Rol 'Cajero' y 'Admin'):</w:t>
              <w:br/>
              <w:t xml:space="preserve">     - `/pos` (Caja principal) ➔ `/pos/cobro` (Modal de pago mixto y canje) ➔ `/pos/historial` (Cierre de turno y arqueo).</w:t>
              <w:br/>
              <w:t xml:space="preserve">  3. Zona Administrativa (Acceso exclusivo 'Admin' con 2FA):</w:t>
              <w:br/>
              <w:t xml:space="preserve">     - `/admin` (Dashboard de métricas) ➔ `/admin/inventario` (Gestión de lotes y alertas de caducidad) ➔ `/admin/marketing` (Reporte de atribución de tráfico: Google Maps vs. Instagram vs. Tráfico Directo) ➔ `/admin/auditoria`.</w:t>
            </w:r>
          </w:p>
        </w:tc>
      </w:tr>
      <w:tr>
        <w:tc>
          <w:tcPr>
            <w:tcW w:type="dxa" w:w="3888"/>
            <w:shd w:fill="FFFFFF"/>
            <w:tcMar>
              <w:top w:w="120" w:type="dxa"/>
              <w:bottom w:w="120" w:type="dxa"/>
              <w:left w:w="140" w:type="dxa"/>
              <w:right w:w="140" w:type="dxa"/>
            </w:tcMar>
          </w:tcPr>
          <w:p>
            <w:pPr>
              <w:spacing w:after="80" w:line="276" w:lineRule="auto"/>
              <w:jc w:val="left"/>
            </w:pPr>
            <w:r>
              <w:rPr>
                <w:rFonts w:ascii="Calibri" w:hAnsi="Calibri"/>
                <w:b/>
                <w:color w:val="1F4E79"/>
                <w:sz w:val="21"/>
              </w:rPr>
              <w:t>2.8 Prácticas de calidad</w:t>
              <w:br/>
            </w:r>
            <w:r>
              <w:rPr>
                <w:rFonts w:ascii="Calibri" w:hAnsi="Calibri"/>
                <w:color w:val="323232"/>
                <w:sz w:val="19"/>
              </w:rPr>
              <w:t>Metodologías, estándares y disciplinas de ingeniería aplicadas durante todo el ciclo de desarrollo para garantizar que el software sea correcto, seguro, mantenible, eficiente y cumpla las expectativas del usuario.</w:t>
              <w:br/>
              <w:br/>
              <w:t>Abarca el Desarrollo Guiado por Pruebas (TDD), testing automatizado piramidal (unitarias, integración, E2E), análisis estático de código (linters, sonar), integración y entrega continua (CI/CD) y revisiones colaborativas de código.</w:t>
            </w:r>
          </w:p>
        </w:tc>
        <w:tc>
          <w:tcPr>
            <w:tcW w:type="dxa" w:w="6048"/>
            <w:shd w:fill="FFFFFF"/>
            <w:tcMar>
              <w:top w:w="120" w:type="dxa"/>
              <w:bottom w:w="120" w:type="dxa"/>
              <w:left w:w="140" w:type="dxa"/>
              <w:right w:w="140" w:type="dxa"/>
            </w:tcMar>
          </w:tcPr>
          <w:p>
            <w:pPr>
              <w:spacing w:after="80" w:line="276" w:lineRule="auto"/>
              <w:jc w:val="both"/>
            </w:pPr>
            <w:r>
              <w:rPr>
                <w:rFonts w:ascii="Calibri" w:hAnsi="Calibri"/>
                <w:b/>
                <w:color w:val="464646"/>
                <w:sz w:val="19"/>
              </w:rPr>
              <w:t>Aplicación al Sistema Monchis Café:</w:t>
              <w:br/>
            </w:r>
            <w:r>
              <w:rPr>
                <w:rFonts w:ascii="Calibri" w:hAnsi="Calibri"/>
                <w:color w:val="282828"/>
                <w:sz w:val="19"/>
              </w:rPr>
              <w:t>• Calidad y Testing Multicapa en Monchis Café:</w:t>
              <w:br/>
              <w:t xml:space="preserve">  - Metodología TDD: Implementación de pruebas previas a la lógica para el cálculo de recompensas y reembolsos Saga.</w:t>
              <w:br/>
              <w:t xml:space="preserve">  - Pirámide de Pruebas: Vitest para pruebas unitarias de utilitarios y componentes Vue; Supertest para endpoints API; y Playwright para pruebas E2E del flujo crítico de venta en el POS.</w:t>
              <w:br/>
              <w:t xml:space="preserve">  - Linters y Git Hooks: ESLint y Prettier orquestados mediante Husky y `lint-staged`, bloqueando commits con advertencias, código muerto o strings con datos sensibles hardcodeados.</w:t>
              <w:br/>
              <w:t xml:space="preserve">  - Pipeline CI/CD en GitHub Actions: Validación automática de build, tipado TypeScript (`tsc --noEmit`), ejecución de pruebas y auditoría de vulnerabilidades en dependencias (`pnpm audit`) en cada Pull Request.</w:t>
            </w:r>
          </w:p>
        </w:tc>
      </w:tr>
    </w:tbl>
    <w:p>
      <w:pPr>
        <w:spacing w:before="360" w:after="120"/>
      </w:pPr>
      <w:r>
        <w:rPr>
          <w:rFonts w:ascii="Calibri" w:hAnsi="Calibri"/>
          <w:b/>
          <w:color w:val="1F4E79"/>
          <w:sz w:val="24"/>
        </w:rPr>
        <w:t>Conclusión y Reflexión sobre la Calidad en el Software</w:t>
      </w:r>
    </w:p>
    <w:p>
      <w:pPr>
        <w:spacing w:after="160" w:line="276" w:lineRule="auto"/>
        <w:jc w:val="both"/>
      </w:pPr>
      <w:r>
        <w:t xml:space="preserve">La integración sinérgica de los ocho puntos analizados demuestra que la calidad no es una etapa aislada ni una prueba final previa a la entrega, sino una disciplina continua y transversal. Desde el refinamiento inicial de requerimientos y estimaciones, pasando por el diseño desacoplado en capas, hasta la aplicación de prácticas defensivas de seguridad, diseño de interfaces accesibles y pruebas automatizadas (TDD y testing multicapa), cada decisión impacta directamente en la confiabilidad y mantenibilidad del sistema. En el caso particular de </w:t>
      </w:r>
      <w:r>
        <w:rPr>
          <w:b/>
        </w:rPr>
        <w:t>Monchis Café</w:t>
      </w:r>
      <w:r>
        <w:t>, este enfoque garantiza la integridad de los datos en ventas concurrentes, protege la plataforma frente a ataques web y asegura una experiencia óptima tanto para los cajeros en el punto de venta como para los clientes de café orgánico y de especialidad.</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7"/>
      </w:rPr>
      <w:t>Monchis Café — Plataforma Web Segura | Ernesto Fierro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Buenas Prácticas de Calidad (Aplicaciones de Software) | Actividad de Participación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