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80"/>
      </w:pPr>
      <w:r>
        <w:rPr>
          <w:b/>
          <w:i w:val="0"/>
          <w:sz w:val="38"/>
        </w:rPr>
        <w:t>Experiment C — Fabricated-Entity Insertion: Feasibility and Item Set</w:t>
      </w:r>
    </w:p>
    <w:p>
      <w:pPr>
        <w:spacing w:after="280"/>
      </w:pPr>
      <w:r>
        <w:rPr>
          <w:b w:val="0"/>
          <w:i/>
          <w:sz w:val="23"/>
        </w:rPr>
        <w:t>Feasibility report and delivered item set</w:t>
      </w:r>
    </w:p>
    <w:tbl>
      <w:tblPr>
        <w:tblStyle w:val="TableGrid"/>
        <w:tblW w:type="auto" w:w="0"/>
        <w:jc w:val="left"/>
        <w:tblLayout w:type="autofit"/>
        <w:tblLook w:firstColumn="1" w:firstRow="1" w:lastColumn="0" w:lastRow="0" w:noHBand="0" w:noVBand="1" w:val="04A0"/>
      </w:tblPr>
      <w:tblGrid>
        <w:gridCol w:w="4968"/>
        <w:gridCol w:w="4968"/>
      </w:tblGrid>
      <w:tr>
        <w:tc>
          <w:tcPr>
            <w:tcW w:type="dxa" w:w="2160"/>
          </w:tcPr>
          <w:p>
            <w:pPr>
              <w:spacing w:after="20" w:before="20"/>
            </w:pPr>
            <w:r/>
            <w:r>
              <w:rPr>
                <w:b/>
                <w:sz w:val="19"/>
              </w:rPr>
            </w:r>
          </w:p>
        </w:tc>
        <w:tc>
          <w:tcPr>
            <w:tcW w:type="dxa" w:w="7488"/>
          </w:tcPr>
          <w:p>
            <w:pPr>
              <w:spacing w:after="20" w:before="20"/>
            </w:pPr>
            <w:r/>
            <w:r>
              <w:rPr>
                <w:b/>
                <w:sz w:val="19"/>
              </w:rPr>
            </w:r>
          </w:p>
        </w:tc>
      </w:tr>
      <w:tr>
        <w:tc>
          <w:tcPr>
            <w:tcW w:type="dxa" w:w="2160"/>
          </w:tcPr>
          <w:p>
            <w:pPr>
              <w:spacing w:after="20" w:before="20"/>
            </w:pPr>
            <w:r/>
            <w:r>
              <w:rPr>
                <w:sz w:val="19"/>
              </w:rPr>
              <w:t>Date</w:t>
            </w:r>
          </w:p>
        </w:tc>
        <w:tc>
          <w:tcPr>
            <w:tcW w:type="dxa" w:w="7488"/>
          </w:tcPr>
          <w:p>
            <w:pPr>
              <w:spacing w:after="20" w:before="20"/>
            </w:pPr>
            <w:r/>
            <w:r>
              <w:rPr>
                <w:sz w:val="19"/>
              </w:rPr>
              <w:t>31 July 2026</w:t>
            </w:r>
          </w:p>
        </w:tc>
      </w:tr>
      <w:tr>
        <w:tc>
          <w:tcPr>
            <w:tcW w:type="dxa" w:w="2160"/>
          </w:tcPr>
          <w:p>
            <w:pPr>
              <w:spacing w:after="20" w:before="20"/>
            </w:pPr>
            <w:r/>
            <w:r>
              <w:rPr>
                <w:sz w:val="19"/>
              </w:rPr>
              <w:t>Source bank</w:t>
            </w:r>
          </w:p>
        </w:tc>
        <w:tc>
          <w:tcPr>
            <w:tcW w:type="dxa" w:w="7488"/>
          </w:tcPr>
          <w:p>
            <w:pPr>
              <w:spacing w:after="20" w:before="20"/>
            </w:pPr>
            <w:r/>
            <w:r>
              <w:rPr>
                <w:sz w:val="19"/>
              </w:rPr>
              <w:t>balanced-flat-A.xlsx, sheet 'questions', 474 items</w:t>
            </w:r>
          </w:p>
        </w:tc>
      </w:tr>
      <w:tr>
        <w:tc>
          <w:tcPr>
            <w:tcW w:type="dxa" w:w="2160"/>
          </w:tcPr>
          <w:p>
            <w:pPr>
              <w:spacing w:after="20" w:before="20"/>
            </w:pPr>
            <w:r/>
            <w:r>
              <w:rPr>
                <w:sz w:val="19"/>
              </w:rPr>
              <w:t>Build script</w:t>
            </w:r>
          </w:p>
        </w:tc>
        <w:tc>
          <w:tcPr>
            <w:tcW w:type="dxa" w:w="7488"/>
          </w:tcPr>
          <w:p>
            <w:pPr>
              <w:spacing w:after="20" w:before="20"/>
            </w:pPr>
            <w:r/>
            <w:r>
              <w:rPr>
                <w:sz w:val="19"/>
              </w:rPr>
              <w:t>tools/build_expC.py</w:t>
            </w:r>
          </w:p>
        </w:tc>
      </w:tr>
      <w:tr>
        <w:tc>
          <w:tcPr>
            <w:tcW w:type="dxa" w:w="2160"/>
          </w:tcPr>
          <w:p>
            <w:pPr>
              <w:spacing w:after="20" w:before="20"/>
            </w:pPr>
            <w:r/>
            <w:r>
              <w:rPr>
                <w:sz w:val="19"/>
              </w:rPr>
              <w:t>Canonical output</w:t>
            </w:r>
          </w:p>
        </w:tc>
        <w:tc>
          <w:tcPr>
            <w:tcW w:type="dxa" w:w="7488"/>
          </w:tcPr>
          <w:p>
            <w:pPr>
              <w:spacing w:after="20" w:before="20"/>
            </w:pPr>
            <w:r/>
            <w:r>
              <w:rPr>
                <w:sz w:val="19"/>
              </w:rPr>
              <w:t>canonical.json</w:t>
            </w:r>
          </w:p>
        </w:tc>
      </w:tr>
      <w:tr>
        <w:tc>
          <w:tcPr>
            <w:tcW w:type="dxa" w:w="2160"/>
          </w:tcPr>
          <w:p>
            <w:pPr>
              <w:spacing w:after="20" w:before="20"/>
            </w:pPr>
            <w:r/>
            <w:r>
              <w:rPr>
                <w:sz w:val="19"/>
              </w:rPr>
              <w:t>Status</w:t>
            </w:r>
          </w:p>
        </w:tc>
        <w:tc>
          <w:tcPr>
            <w:tcW w:type="dxa" w:w="7488"/>
          </w:tcPr>
          <w:p>
            <w:pPr>
              <w:spacing w:after="20" w:before="20"/>
            </w:pPr>
            <w:r/>
            <w:r>
              <w:rPr>
                <w:sz w:val="19"/>
              </w:rPr>
              <w:t>Item set delivered; experiment blocked on a harness change (section 5)</w:t>
            </w:r>
          </w:p>
        </w:tc>
      </w:tr>
    </w:tbl>
    <w:p>
      <w:r>
        <w:rPr>
          <w:b w:val="0"/>
          <w:i w:val="0"/>
        </w:rPr>
      </w:r>
    </w:p>
    <w:p>
      <w:pPr>
        <w:spacing w:after="60"/>
      </w:pPr>
      <w:r>
        <w:rPr>
          <w:b/>
          <w:i w:val="0"/>
          <w:sz w:val="24"/>
        </w:rPr>
        <w:t>Abstract</w:t>
      </w:r>
    </w:p>
    <w:p>
      <w:pPr>
        <w:spacing w:after="200"/>
      </w:pPr>
      <w:r>
        <w:rPr>
          <w:b w:val="0"/>
          <w:i w:val="0"/>
        </w:rPr>
        <w:t>Experiment C was to build two arms of 200 items each in which a single fabricated clinical finding — a non-existent serum biomarker, or a non-existent anatomical structure — is inserted into an otherwise byte-identical examination question. Of the 474 items in the source bank, 182 admit a mechanically safe insertion point, and after answer-key screening 92 (strict) or 148 (relaxed) survive; the largest single arm obtainable is 99 biomarker items and the largest paired set is 58. The target of 200 items per arm is therefore not achievable from this bank, and no amount of additional generation effort changes that, because the constraint is the corpus and not the method. All 127 generated variants are literal string concatenations produced without any language model, with byte-level assertions proving that nothing but the inserted sentence moved. The experiment is nevertheless not yet measurable: the harness persists only the parsed multiple-choice letter, and because eligibility deliberately excludes every item whose key an inserted finding could move, the accuracy delta is zero by construction.</w:t>
      </w:r>
    </w:p>
    <w:p>
      <w:r>
        <w:br w:type="page"/>
      </w:r>
    </w:p>
    <w:p>
      <w:pPr>
        <w:pStyle w:val="Heading1"/>
      </w:pPr>
      <w:r>
        <w:t>1. Executive summary</w:t>
      </w:r>
    </w:p>
    <w:p>
      <w:r>
        <w:rPr>
          <w:b w:val="0"/>
          <w:i w:val="0"/>
        </w:rPr>
        <w:t>How many questions can actually be modified. From 474 source items, 37 can carry both a fabricated biomarker and a fabricated anatomical structure under the strict answer-key rules, and 58 under the relaxed rules. If only one arm is required, 99 items can carry a biomarker and 86 can carry an anatomical structure. These are ceilings, not samples: they are the complete sets that survive the eligibility rules.</w:t>
      </w:r>
    </w:p>
    <w:tbl>
      <w:tblPr>
        <w:tblStyle w:val="TableGrid"/>
        <w:tblW w:type="auto" w:w="0"/>
        <w:jc w:val="left"/>
        <w:tblLayout w:type="autofit"/>
        <w:tblLook w:firstColumn="1" w:firstRow="1" w:lastColumn="0" w:lastRow="0" w:noHBand="0" w:noVBand="1" w:val="04A0"/>
      </w:tblPr>
      <w:tblGrid>
        <w:gridCol w:w="2484"/>
        <w:gridCol w:w="2484"/>
        <w:gridCol w:w="2484"/>
        <w:gridCol w:w="2484"/>
      </w:tblGrid>
      <w:tr>
        <w:tc>
          <w:tcPr>
            <w:tcW w:type="dxa" w:w="2376"/>
          </w:tcPr>
          <w:p>
            <w:pPr>
              <w:spacing w:after="20" w:before="20"/>
            </w:pPr>
            <w:r/>
            <w:r>
              <w:rPr>
                <w:b/>
                <w:sz w:val="15"/>
              </w:rPr>
              <w:t>Set</w:t>
            </w:r>
          </w:p>
        </w:tc>
        <w:tc>
          <w:tcPr>
            <w:tcW w:type="dxa" w:w="936"/>
          </w:tcPr>
          <w:p>
            <w:pPr>
              <w:spacing w:after="20" w:before="20"/>
            </w:pPr>
            <w:r/>
            <w:r>
              <w:rPr>
                <w:b/>
                <w:sz w:val="15"/>
              </w:rPr>
              <w:t>Strict</w:t>
            </w:r>
          </w:p>
        </w:tc>
        <w:tc>
          <w:tcPr>
            <w:tcW w:type="dxa" w:w="1008"/>
          </w:tcPr>
          <w:p>
            <w:pPr>
              <w:spacing w:after="20" w:before="20"/>
            </w:pPr>
            <w:r/>
            <w:r>
              <w:rPr>
                <w:b/>
                <w:sz w:val="15"/>
              </w:rPr>
              <w:t>Relaxed</w:t>
            </w:r>
          </w:p>
        </w:tc>
        <w:tc>
          <w:tcPr>
            <w:tcW w:type="dxa" w:w="5184"/>
          </w:tcPr>
          <w:p>
            <w:pPr>
              <w:spacing w:after="20" w:before="20"/>
            </w:pPr>
            <w:r/>
            <w:r>
              <w:rPr>
                <w:b/>
                <w:sz w:val="15"/>
              </w:rPr>
              <w:t>What it is</w:t>
            </w:r>
          </w:p>
        </w:tc>
      </w:tr>
      <w:tr>
        <w:tc>
          <w:tcPr>
            <w:tcW w:type="dxa" w:w="2376"/>
          </w:tcPr>
          <w:p>
            <w:pPr>
              <w:spacing w:after="20" w:before="20"/>
            </w:pPr>
            <w:r/>
            <w:r>
              <w:rPr>
                <w:sz w:val="15"/>
              </w:rPr>
              <w:t>Mechanically insertable</w:t>
            </w:r>
          </w:p>
        </w:tc>
        <w:tc>
          <w:tcPr>
            <w:tcW w:type="dxa" w:w="936"/>
          </w:tcPr>
          <w:p>
            <w:pPr>
              <w:spacing w:after="20" w:before="20"/>
              <w:jc w:val="right"/>
            </w:pPr>
            <w:r/>
            <w:r>
              <w:rPr>
                <w:sz w:val="15"/>
              </w:rPr>
              <w:t>182</w:t>
            </w:r>
          </w:p>
        </w:tc>
        <w:tc>
          <w:tcPr>
            <w:tcW w:type="dxa" w:w="1008"/>
          </w:tcPr>
          <w:p>
            <w:pPr>
              <w:spacing w:after="20" w:before="20"/>
              <w:jc w:val="right"/>
            </w:pPr>
            <w:r/>
            <w:r>
              <w:rPr>
                <w:sz w:val="15"/>
              </w:rPr>
              <w:t>182</w:t>
            </w:r>
          </w:p>
        </w:tc>
        <w:tc>
          <w:tcPr>
            <w:tcW w:type="dxa" w:w="5184"/>
          </w:tcPr>
          <w:p>
            <w:pPr>
              <w:spacing w:after="20" w:before="20"/>
              <w:jc w:val="right"/>
            </w:pPr>
            <w:r/>
            <w:r>
              <w:rPr>
                <w:sz w:val="15"/>
              </w:rPr>
              <w:t>A clean sentence seam exists before the stem, and there is a patient to attach a finding to</w:t>
            </w:r>
          </w:p>
        </w:tc>
      </w:tr>
      <w:tr>
        <w:tc>
          <w:tcPr>
            <w:tcW w:type="dxa" w:w="2376"/>
          </w:tcPr>
          <w:p>
            <w:pPr>
              <w:spacing w:after="20" w:before="20"/>
            </w:pPr>
            <w:r/>
            <w:r>
              <w:rPr>
                <w:sz w:val="15"/>
              </w:rPr>
              <w:t>Key-preserving base</w:t>
            </w:r>
          </w:p>
        </w:tc>
        <w:tc>
          <w:tcPr>
            <w:tcW w:type="dxa" w:w="936"/>
          </w:tcPr>
          <w:p>
            <w:pPr>
              <w:spacing w:after="20" w:before="20"/>
              <w:jc w:val="right"/>
            </w:pPr>
            <w:r/>
            <w:r>
              <w:rPr>
                <w:sz w:val="15"/>
              </w:rPr>
              <w:t>92</w:t>
            </w:r>
          </w:p>
        </w:tc>
        <w:tc>
          <w:tcPr>
            <w:tcW w:type="dxa" w:w="1008"/>
          </w:tcPr>
          <w:p>
            <w:pPr>
              <w:spacing w:after="20" w:before="20"/>
              <w:jc w:val="right"/>
            </w:pPr>
            <w:r/>
            <w:r>
              <w:rPr>
                <w:sz w:val="15"/>
              </w:rPr>
              <w:t>148</w:t>
            </w:r>
          </w:p>
        </w:tc>
        <w:tc>
          <w:tcPr>
            <w:tcW w:type="dxa" w:w="5184"/>
          </w:tcPr>
          <w:p>
            <w:pPr>
              <w:spacing w:after="20" w:before="20"/>
              <w:jc w:val="right"/>
            </w:pPr>
            <w:r/>
            <w:r>
              <w:rPr>
                <w:sz w:val="15"/>
              </w:rPr>
              <w:t>The above, minus items whose correct answer an inserted finding could move</w:t>
            </w:r>
          </w:p>
        </w:tc>
      </w:tr>
      <w:tr>
        <w:tc>
          <w:tcPr>
            <w:tcW w:type="dxa" w:w="2376"/>
          </w:tcPr>
          <w:p>
            <w:pPr>
              <w:spacing w:after="20" w:before="20"/>
            </w:pPr>
            <w:r/>
            <w:r>
              <w:rPr>
                <w:sz w:val="15"/>
              </w:rPr>
              <w:t>Biomarker arm</w:t>
            </w:r>
          </w:p>
        </w:tc>
        <w:tc>
          <w:tcPr>
            <w:tcW w:type="dxa" w:w="936"/>
          </w:tcPr>
          <w:p>
            <w:pPr>
              <w:spacing w:after="20" w:before="20"/>
              <w:jc w:val="right"/>
            </w:pPr>
            <w:r/>
            <w:r>
              <w:rPr>
                <w:sz w:val="15"/>
              </w:rPr>
              <w:t>59</w:t>
            </w:r>
          </w:p>
        </w:tc>
        <w:tc>
          <w:tcPr>
            <w:tcW w:type="dxa" w:w="1008"/>
          </w:tcPr>
          <w:p>
            <w:pPr>
              <w:spacing w:after="20" w:before="20"/>
              <w:jc w:val="right"/>
            </w:pPr>
            <w:r/>
            <w:r>
              <w:rPr>
                <w:sz w:val="15"/>
              </w:rPr>
              <w:t>99</w:t>
            </w:r>
          </w:p>
        </w:tc>
        <w:tc>
          <w:tcPr>
            <w:tcW w:type="dxa" w:w="5184"/>
          </w:tcPr>
          <w:p>
            <w:pPr>
              <w:spacing w:after="20" w:before="20"/>
              <w:jc w:val="right"/>
            </w:pPr>
            <w:r/>
            <w:r>
              <w:rPr>
                <w:sz w:val="15"/>
              </w:rPr>
              <w:t>Key-preserving and not already asserting that the laboratory workup is normal</w:t>
            </w:r>
          </w:p>
        </w:tc>
      </w:tr>
      <w:tr>
        <w:tc>
          <w:tcPr>
            <w:tcW w:type="dxa" w:w="2376"/>
          </w:tcPr>
          <w:p>
            <w:pPr>
              <w:spacing w:after="20" w:before="20"/>
            </w:pPr>
            <w:r/>
            <w:r>
              <w:rPr>
                <w:sz w:val="15"/>
              </w:rPr>
              <w:t>Anatomy arm</w:t>
            </w:r>
          </w:p>
        </w:tc>
        <w:tc>
          <w:tcPr>
            <w:tcW w:type="dxa" w:w="936"/>
          </w:tcPr>
          <w:p>
            <w:pPr>
              <w:spacing w:after="20" w:before="20"/>
              <w:jc w:val="right"/>
            </w:pPr>
            <w:r/>
            <w:r>
              <w:rPr>
                <w:sz w:val="15"/>
              </w:rPr>
              <w:t>54</w:t>
            </w:r>
          </w:p>
        </w:tc>
        <w:tc>
          <w:tcPr>
            <w:tcW w:type="dxa" w:w="1008"/>
          </w:tcPr>
          <w:p>
            <w:pPr>
              <w:spacing w:after="20" w:before="20"/>
              <w:jc w:val="right"/>
            </w:pPr>
            <w:r/>
            <w:r>
              <w:rPr>
                <w:sz w:val="15"/>
              </w:rPr>
              <w:t>86</w:t>
            </w:r>
          </w:p>
        </w:tc>
        <w:tc>
          <w:tcPr>
            <w:tcW w:type="dxa" w:w="5184"/>
          </w:tcPr>
          <w:p>
            <w:pPr>
              <w:spacing w:after="20" w:before="20"/>
              <w:jc w:val="right"/>
            </w:pPr>
            <w:r/>
            <w:r>
              <w:rPr>
                <w:sz w:val="15"/>
              </w:rPr>
              <w:t>Key-preserving and not already asserting that the physical examination is normal</w:t>
            </w:r>
          </w:p>
        </w:tc>
      </w:tr>
      <w:tr>
        <w:tc>
          <w:tcPr>
            <w:tcW w:type="dxa" w:w="2376"/>
          </w:tcPr>
          <w:p>
            <w:pPr>
              <w:spacing w:after="20" w:before="20"/>
            </w:pPr>
            <w:r/>
            <w:r>
              <w:rPr>
                <w:sz w:val="15"/>
              </w:rPr>
              <w:t>Paired (control + both arms)</w:t>
            </w:r>
          </w:p>
        </w:tc>
        <w:tc>
          <w:tcPr>
            <w:tcW w:type="dxa" w:w="936"/>
          </w:tcPr>
          <w:p>
            <w:pPr>
              <w:spacing w:after="20" w:before="20"/>
              <w:jc w:val="right"/>
            </w:pPr>
            <w:r/>
            <w:r>
              <w:rPr>
                <w:sz w:val="15"/>
              </w:rPr>
              <w:t>37</w:t>
            </w:r>
          </w:p>
        </w:tc>
        <w:tc>
          <w:tcPr>
            <w:tcW w:type="dxa" w:w="1008"/>
          </w:tcPr>
          <w:p>
            <w:pPr>
              <w:spacing w:after="20" w:before="20"/>
              <w:jc w:val="right"/>
            </w:pPr>
            <w:r/>
            <w:r>
              <w:rPr>
                <w:sz w:val="15"/>
              </w:rPr>
              <w:t>58</w:t>
            </w:r>
          </w:p>
        </w:tc>
        <w:tc>
          <w:tcPr>
            <w:tcW w:type="dxa" w:w="5184"/>
          </w:tcPr>
          <w:p>
            <w:pPr>
              <w:spacing w:after="20" w:before="20"/>
              <w:jc w:val="right"/>
            </w:pPr>
            <w:r/>
            <w:r>
              <w:rPr>
                <w:sz w:val="15"/>
              </w:rPr>
              <w:t>Items usable in a within-item three-condition design</w:t>
            </w:r>
          </w:p>
        </w:tc>
      </w:tr>
    </w:tbl>
    <w:p>
      <w:pPr>
        <w:spacing w:before="40" w:after="160"/>
      </w:pPr>
      <w:r>
        <w:rPr>
          <w:i/>
          <w:color w:val="444444"/>
          <w:sz w:val="15"/>
        </w:rPr>
        <w:t>Table 1. Eligible item counts. Strict and relaxed differ only in guard J (section 3.3).</w:t>
      </w:r>
    </w:p>
    <w:p>
      <w:r>
        <w:rPr>
          <w:b w:val="0"/>
          <w:i w:val="0"/>
        </w:rPr>
        <w:t>200 items per arm is unreachable. The ceiling for the larger arm is 99 items, and that figure already uses the relaxed answer-key rules. The binding constraint is upstream of any design choice: 232 of the 474 source items are bare theory one-liners with no patient and no sentence boundary at all, so there is nothing for a clinical finding to attach to. Reaching 200 per arm requires a larger or differently composed bank, not a better insertion method.</w:t>
      </w:r>
    </w:p>
    <w:p>
      <w:r>
        <w:rPr>
          <w:b w:val="0"/>
          <w:i w:val="0"/>
        </w:rPr>
        <w:t>The single blocking issue. The evaluation harness records the parsed multiple-choice letter. The eligibility rules deliberately remove every item whose correct answer an inserted finding could plausibly move, so on the delivered set the accuracy difference between control and manipulated conditions is zero by construction. Running the experiment as it stands would produce a null result that carries no information about whether the models noticed the fabricated entity. This is a gate on the runner, not a caveat on the analysis; it is set out in section 5.</w:t>
      </w:r>
    </w:p>
    <w:p>
      <w:r>
        <w:rPr>
          <w:b w:val="0"/>
          <w:i w:val="0"/>
        </w:rPr>
        <w:t>What was delivered. 127 generated rows covering 99 biomarker texts and 86 anatomy texts (58 items carry both, 41 biomarker only, 28 anatomy only), each accompanied by its unmodified control text, together with the per-item eligibility verdict and rejecting guard for all 474 source items.</w:t>
      </w:r>
    </w:p>
    <w:p>
      <w:r>
        <w:rPr>
          <w:b w:val="0"/>
          <w:i w:val="0"/>
        </w:rPr>
        <w:t>A caution on effective sample size. The 37 paired strict items are not 37 independent observations. They come from 13 distinct clinical narratives, and two narratives supply 16 and 9 items respectively. At a plausible intra-cluster correlation of 0.3 the effective sample size is 10.4, not 37.</w:t>
      </w:r>
    </w:p>
    <w:p>
      <w:pPr>
        <w:pStyle w:val="Heading1"/>
      </w:pPr>
      <w:r>
        <w:t>2. What was asked and what was built</w:t>
      </w:r>
    </w:p>
    <w:p>
      <w:pPr>
        <w:pStyle w:val="Heading2"/>
      </w:pPr>
      <w:r>
        <w:t>2.1 The insertion point</w:t>
      </w:r>
    </w:p>
    <w:p>
      <w:r>
        <w:rPr>
          <w:b w:val="0"/>
          <w:i w:val="0"/>
        </w:rPr>
        <w:t>Each item consists of a clinical narrative followed by a stem (the question proper) and four options. The manipulation appends exactly one sentence at the end of the narrative, immediately before the stem: the only location that leaves both the clinical story and the question untouched while placing the fabricated finding where a reader expects the last piece of evidence. The seam is the final sentence boundary in the item text — a full stop, exclamation or question mark followed by whitespace, or a line break. An item is usable only if that split is clean, which is what the mechanical guards in section 3 test.</w:t>
      </w:r>
    </w:p>
    <w:p>
      <w:pPr>
        <w:pStyle w:val="Heading2"/>
      </w:pPr>
      <w:r>
        <w:t>2.2 The method is deterministic</w:t>
      </w:r>
    </w:p>
    <w:p>
      <w:r>
        <w:rPr>
          <w:b w:val="0"/>
          <w:i w:val="0"/>
        </w:rPr>
        <w:t>Every modified string is produced by a single concatenation:</w:t>
      </w:r>
    </w:p>
    <w:p>
      <w:r>
        <w:rPr>
          <w:rFonts w:ascii="Consolas" w:hAnsi="Consolas"/>
          <w:b w:val="0"/>
          <w:i w:val="0"/>
          <w:sz w:val="19"/>
        </w:rPr>
        <w:t xml:space="preserve">    new_text = narrative + SENTENCE + separator + stem</w:t>
      </w:r>
    </w:p>
    <w:p>
      <w:r>
        <w:rPr>
          <w:b w:val="0"/>
          <w:i w:val="0"/>
        </w:rPr>
        <w:t>where SENTENCE is a literal constant drawn from the fixed table of twenty candidate sentences (Appendix A) and separator is the original whitespace that already sat between narrative and stem. The build asserts, for every generated string, that the prefix up to the insertion offset is byte-identical to the original, that the suffix after the inserted sentence and separator is byte-identical to the original, that the length grew by exactly the length of the inserted sentence plus the separator, that the inserted sentence occurs exactly once, and that the newline count changed only by the newlines in the separator. A failure of any assertion aborts the build.</w:t>
      </w:r>
    </w:p>
    <w:p>
      <w:pPr>
        <w:pStyle w:val="Heading2"/>
      </w:pPr>
      <w:r>
        <w:t>2.3 No model touched the generated strings</w:t>
      </w:r>
    </w:p>
    <w:p>
      <w:r>
        <w:rPr>
          <w:b w:val="0"/>
          <w:i w:val="0"/>
        </w:rPr>
        <w:t>No language model was involved at any point in generation. The twenty candidate sentences were written once, by hand, and are stored as literal constants in the build script; the choice of which sentence goes into which item is a deterministic rotation over an integer index (section 7). Re-running the build on the same workbook reproduces every byte of every generated string. This matters because the manipulation under test is the presence of a fabricated entity: had a model written the insertions, any observed effect could be attributed to the writer's stylistic choices rather than to fabrication.</w:t>
      </w:r>
    </w:p>
    <w:p>
      <w:r>
        <w:rPr>
          <w:b w:val="0"/>
          <w:i w:val="0"/>
        </w:rPr>
        <w:t>One further refusal rule applies. A candidate sentence is rejected for a given item if the item's own text already contains the sentence's distinguishing morpheme — its 'root' — because a fabricated term whose root already appears in the vignette can be assimilated as an echo of the text's own vocabulary rather than noticed as novel. The rotation skips to the next candidate on collision. Section 6 shows this is the dominant constraint on sentence choice.</w:t>
      </w:r>
    </w:p>
    <w:p>
      <w:pPr>
        <w:pStyle w:val="Heading1"/>
      </w:pPr>
      <w:r>
        <w:t>3. Which questions can be modified, and why most cannot</w:t>
      </w:r>
    </w:p>
    <w:p>
      <w:pPr>
        <w:pStyle w:val="Heading2"/>
      </w:pPr>
      <w:r>
        <w:t>3.1 The mechanical funnel</w:t>
      </w:r>
    </w:p>
    <w:p>
      <w:r>
        <w:rPr>
          <w:b w:val="0"/>
          <w:i w:val="0"/>
        </w:rPr>
        <w:t>Guards A to I are applied in order to all 474 items. Each guard tests one structural property of the item text; the first guard that fires rejects the item and no later guard is evaluated. 182 items survive.</w:t>
      </w:r>
    </w:p>
    <w:tbl>
      <w:tblPr>
        <w:tblStyle w:val="TableGrid"/>
        <w:tblW w:type="auto" w:w="0"/>
        <w:jc w:val="left"/>
        <w:tblLayout w:type="autofit"/>
        <w:tblLook w:firstColumn="1" w:firstRow="1" w:lastColumn="0" w:lastRow="0" w:noHBand="0" w:noVBand="1" w:val="04A0"/>
      </w:tblPr>
      <w:tblGrid>
        <w:gridCol w:w="2484"/>
        <w:gridCol w:w="2484"/>
        <w:gridCol w:w="2484"/>
        <w:gridCol w:w="2484"/>
      </w:tblGrid>
      <w:tr>
        <w:tc>
          <w:tcPr>
            <w:tcW w:type="dxa" w:w="792"/>
          </w:tcPr>
          <w:p>
            <w:pPr>
              <w:spacing w:after="20" w:before="20"/>
            </w:pPr>
            <w:r/>
            <w:r>
              <w:rPr>
                <w:b/>
                <w:sz w:val="15"/>
              </w:rPr>
              <w:t>Guard</w:t>
            </w:r>
          </w:p>
        </w:tc>
        <w:tc>
          <w:tcPr>
            <w:tcW w:type="dxa" w:w="6264"/>
          </w:tcPr>
          <w:p>
            <w:pPr>
              <w:spacing w:after="20" w:before="20"/>
            </w:pPr>
            <w:r/>
            <w:r>
              <w:rPr>
                <w:b/>
                <w:sz w:val="15"/>
              </w:rPr>
              <w:t>Reason for rejection</w:t>
            </w:r>
          </w:p>
        </w:tc>
        <w:tc>
          <w:tcPr>
            <w:tcW w:type="dxa" w:w="1152"/>
          </w:tcPr>
          <w:p>
            <w:pPr>
              <w:spacing w:after="20" w:before="20"/>
            </w:pPr>
            <w:r/>
            <w:r>
              <w:rPr>
                <w:b/>
                <w:sz w:val="15"/>
              </w:rPr>
              <w:t>Rejects</w:t>
            </w:r>
          </w:p>
        </w:tc>
        <w:tc>
          <w:tcPr>
            <w:tcW w:type="dxa" w:w="1296"/>
          </w:tcPr>
          <w:p>
            <w:pPr>
              <w:spacing w:after="20" w:before="20"/>
            </w:pPr>
            <w:r/>
            <w:r>
              <w:rPr>
                <w:b/>
                <w:sz w:val="15"/>
              </w:rPr>
              <w:t>Remaining</w:t>
            </w:r>
          </w:p>
        </w:tc>
      </w:tr>
      <w:tr>
        <w:tc>
          <w:tcPr>
            <w:tcW w:type="dxa" w:w="792"/>
          </w:tcPr>
          <w:p>
            <w:pPr>
              <w:spacing w:after="20" w:before="20"/>
            </w:pPr>
            <w:r/>
            <w:r>
              <w:rPr>
                <w:sz w:val="15"/>
              </w:rPr>
              <w:t>A</w:t>
            </w:r>
          </w:p>
        </w:tc>
        <w:tc>
          <w:tcPr>
            <w:tcW w:type="dxa" w:w="6264"/>
          </w:tcPr>
          <w:p>
            <w:pPr>
              <w:spacing w:after="20" w:before="20"/>
            </w:pPr>
            <w:r/>
            <w:r>
              <w:rPr>
                <w:sz w:val="15"/>
              </w:rPr>
              <w:t>No sentence boundary — the whole item is a single fused sentence, so there is no seam</w:t>
            </w:r>
          </w:p>
        </w:tc>
        <w:tc>
          <w:tcPr>
            <w:tcW w:type="dxa" w:w="1152"/>
          </w:tcPr>
          <w:p>
            <w:pPr>
              <w:spacing w:after="20" w:before="20"/>
              <w:jc w:val="right"/>
            </w:pPr>
            <w:r/>
            <w:r>
              <w:rPr>
                <w:sz w:val="15"/>
              </w:rPr>
              <w:t>232</w:t>
            </w:r>
          </w:p>
        </w:tc>
        <w:tc>
          <w:tcPr>
            <w:tcW w:type="dxa" w:w="1296"/>
          </w:tcPr>
          <w:p>
            <w:pPr>
              <w:spacing w:after="20" w:before="20"/>
              <w:jc w:val="right"/>
            </w:pPr>
            <w:r/>
            <w:r>
              <w:rPr>
                <w:sz w:val="15"/>
              </w:rPr>
              <w:t>242</w:t>
            </w:r>
          </w:p>
        </w:tc>
      </w:tr>
      <w:tr>
        <w:tc>
          <w:tcPr>
            <w:tcW w:type="dxa" w:w="792"/>
          </w:tcPr>
          <w:p>
            <w:pPr>
              <w:spacing w:after="20" w:before="20"/>
            </w:pPr>
            <w:r/>
            <w:r>
              <w:rPr>
                <w:sz w:val="15"/>
              </w:rPr>
              <w:t>B</w:t>
            </w:r>
          </w:p>
        </w:tc>
        <w:tc>
          <w:tcPr>
            <w:tcW w:type="dxa" w:w="6264"/>
          </w:tcPr>
          <w:p>
            <w:pPr>
              <w:spacing w:after="20" w:before="20"/>
            </w:pPr>
            <w:r/>
            <w:r>
              <w:rPr>
                <w:sz w:val="15"/>
              </w:rPr>
              <w:t>Boundary is an abbreviation split (e.g. 'H. pylori'), not a real sentence end</w:t>
            </w:r>
          </w:p>
        </w:tc>
        <w:tc>
          <w:tcPr>
            <w:tcW w:type="dxa" w:w="1152"/>
          </w:tcPr>
          <w:p>
            <w:pPr>
              <w:spacing w:after="20" w:before="20"/>
              <w:jc w:val="right"/>
            </w:pPr>
            <w:r/>
            <w:r>
              <w:rPr>
                <w:sz w:val="15"/>
              </w:rPr>
              <w:t>2</w:t>
            </w:r>
          </w:p>
        </w:tc>
        <w:tc>
          <w:tcPr>
            <w:tcW w:type="dxa" w:w="1296"/>
          </w:tcPr>
          <w:p>
            <w:pPr>
              <w:spacing w:after="20" w:before="20"/>
              <w:jc w:val="right"/>
            </w:pPr>
            <w:r/>
            <w:r>
              <w:rPr>
                <w:sz w:val="15"/>
              </w:rPr>
              <w:t>240</w:t>
            </w:r>
          </w:p>
        </w:tc>
      </w:tr>
      <w:tr>
        <w:tc>
          <w:tcPr>
            <w:tcW w:type="dxa" w:w="792"/>
          </w:tcPr>
          <w:p>
            <w:pPr>
              <w:spacing w:after="20" w:before="20"/>
            </w:pPr>
            <w:r/>
            <w:r>
              <w:rPr>
                <w:sz w:val="15"/>
              </w:rPr>
              <w:t>C</w:t>
            </w:r>
          </w:p>
        </w:tc>
        <w:tc>
          <w:tcPr>
            <w:tcW w:type="dxa" w:w="6264"/>
          </w:tcPr>
          <w:p>
            <w:pPr>
              <w:spacing w:after="20" w:before="20"/>
            </w:pPr>
            <w:r/>
            <w:r>
              <w:rPr>
                <w:sz w:val="15"/>
              </w:rPr>
              <w:t>Text after the seam is not an interrogative or stem</w:t>
            </w:r>
          </w:p>
        </w:tc>
        <w:tc>
          <w:tcPr>
            <w:tcW w:type="dxa" w:w="1152"/>
          </w:tcPr>
          <w:p>
            <w:pPr>
              <w:spacing w:after="20" w:before="20"/>
              <w:jc w:val="right"/>
            </w:pPr>
            <w:r/>
            <w:r>
              <w:rPr>
                <w:sz w:val="15"/>
              </w:rPr>
              <w:t>6</w:t>
            </w:r>
          </w:p>
        </w:tc>
        <w:tc>
          <w:tcPr>
            <w:tcW w:type="dxa" w:w="1296"/>
          </w:tcPr>
          <w:p>
            <w:pPr>
              <w:spacing w:after="20" w:before="20"/>
              <w:jc w:val="right"/>
            </w:pPr>
            <w:r/>
            <w:r>
              <w:rPr>
                <w:sz w:val="15"/>
              </w:rPr>
              <w:t>234</w:t>
            </w:r>
          </w:p>
        </w:tc>
      </w:tr>
      <w:tr>
        <w:tc>
          <w:tcPr>
            <w:tcW w:type="dxa" w:w="792"/>
          </w:tcPr>
          <w:p>
            <w:pPr>
              <w:spacing w:after="20" w:before="20"/>
            </w:pPr>
            <w:r/>
            <w:r>
              <w:rPr>
                <w:sz w:val="15"/>
              </w:rPr>
              <w:t>D</w:t>
            </w:r>
          </w:p>
        </w:tc>
        <w:tc>
          <w:tcPr>
            <w:tcW w:type="dxa" w:w="6264"/>
          </w:tcPr>
          <w:p>
            <w:pPr>
              <w:spacing w:after="20" w:before="20"/>
            </w:pPr>
            <w:r/>
            <w:r>
              <w:rPr>
                <w:sz w:val="15"/>
              </w:rPr>
              <w:t>Narrative text still sits in front of the question mark</w:t>
            </w:r>
          </w:p>
        </w:tc>
        <w:tc>
          <w:tcPr>
            <w:tcW w:type="dxa" w:w="1152"/>
          </w:tcPr>
          <w:p>
            <w:pPr>
              <w:spacing w:after="20" w:before="20"/>
              <w:jc w:val="right"/>
            </w:pPr>
            <w:r/>
            <w:r>
              <w:rPr>
                <w:sz w:val="15"/>
              </w:rPr>
              <w:t>1</w:t>
            </w:r>
          </w:p>
        </w:tc>
        <w:tc>
          <w:tcPr>
            <w:tcW w:type="dxa" w:w="1296"/>
          </w:tcPr>
          <w:p>
            <w:pPr>
              <w:spacing w:after="20" w:before="20"/>
              <w:jc w:val="right"/>
            </w:pPr>
            <w:r/>
            <w:r>
              <w:rPr>
                <w:sz w:val="15"/>
              </w:rPr>
              <w:t>233</w:t>
            </w:r>
          </w:p>
        </w:tc>
      </w:tr>
      <w:tr>
        <w:tc>
          <w:tcPr>
            <w:tcW w:type="dxa" w:w="792"/>
          </w:tcPr>
          <w:p>
            <w:pPr>
              <w:spacing w:after="20" w:before="20"/>
            </w:pPr>
            <w:r/>
            <w:r>
              <w:rPr>
                <w:sz w:val="15"/>
              </w:rPr>
              <w:t>H</w:t>
            </w:r>
          </w:p>
        </w:tc>
        <w:tc>
          <w:tcPr>
            <w:tcW w:type="dxa" w:w="6264"/>
          </w:tcPr>
          <w:p>
            <w:pPr>
              <w:spacing w:after="20" w:before="20"/>
            </w:pPr>
            <w:r/>
            <w:r>
              <w:rPr>
                <w:sz w:val="15"/>
              </w:rPr>
              <w:t>The stem preamble is itself a lab panel with measurements</w:t>
            </w:r>
          </w:p>
        </w:tc>
        <w:tc>
          <w:tcPr>
            <w:tcW w:type="dxa" w:w="1152"/>
          </w:tcPr>
          <w:p>
            <w:pPr>
              <w:spacing w:after="20" w:before="20"/>
              <w:jc w:val="right"/>
            </w:pPr>
            <w:r/>
            <w:r>
              <w:rPr>
                <w:sz w:val="15"/>
              </w:rPr>
              <w:t>1</w:t>
            </w:r>
          </w:p>
        </w:tc>
        <w:tc>
          <w:tcPr>
            <w:tcW w:type="dxa" w:w="1296"/>
          </w:tcPr>
          <w:p>
            <w:pPr>
              <w:spacing w:after="20" w:before="20"/>
              <w:jc w:val="right"/>
            </w:pPr>
            <w:r/>
            <w:r>
              <w:rPr>
                <w:sz w:val="15"/>
              </w:rPr>
              <w:t>232</w:t>
            </w:r>
          </w:p>
        </w:tc>
      </w:tr>
      <w:tr>
        <w:tc>
          <w:tcPr>
            <w:tcW w:type="dxa" w:w="792"/>
          </w:tcPr>
          <w:p>
            <w:pPr>
              <w:spacing w:after="20" w:before="20"/>
            </w:pPr>
            <w:r/>
            <w:r>
              <w:rPr>
                <w:sz w:val="15"/>
              </w:rPr>
              <w:t>E</w:t>
            </w:r>
          </w:p>
        </w:tc>
        <w:tc>
          <w:tcPr>
            <w:tcW w:type="dxa" w:w="6264"/>
          </w:tcPr>
          <w:p>
            <w:pPr>
              <w:spacing w:after="20" w:before="20"/>
            </w:pPr>
            <w:r/>
            <w:r>
              <w:rPr>
                <w:sz w:val="15"/>
              </w:rPr>
              <w:t>The real question is the second-to-last sentence; the last is only a directive</w:t>
            </w:r>
          </w:p>
        </w:tc>
        <w:tc>
          <w:tcPr>
            <w:tcW w:type="dxa" w:w="1152"/>
          </w:tcPr>
          <w:p>
            <w:pPr>
              <w:spacing w:after="20" w:before="20"/>
              <w:jc w:val="right"/>
            </w:pPr>
            <w:r/>
            <w:r>
              <w:rPr>
                <w:sz w:val="15"/>
              </w:rPr>
              <w:t>2</w:t>
            </w:r>
          </w:p>
        </w:tc>
        <w:tc>
          <w:tcPr>
            <w:tcW w:type="dxa" w:w="1296"/>
          </w:tcPr>
          <w:p>
            <w:pPr>
              <w:spacing w:after="20" w:before="20"/>
              <w:jc w:val="right"/>
            </w:pPr>
            <w:r/>
            <w:r>
              <w:rPr>
                <w:sz w:val="15"/>
              </w:rPr>
              <w:t>230</w:t>
            </w:r>
          </w:p>
        </w:tc>
      </w:tr>
      <w:tr>
        <w:tc>
          <w:tcPr>
            <w:tcW w:type="dxa" w:w="792"/>
          </w:tcPr>
          <w:p>
            <w:pPr>
              <w:spacing w:after="20" w:before="20"/>
            </w:pPr>
            <w:r/>
            <w:r>
              <w:rPr>
                <w:sz w:val="15"/>
              </w:rPr>
              <w:t>E2</w:t>
            </w:r>
          </w:p>
        </w:tc>
        <w:tc>
          <w:tcPr>
            <w:tcW w:type="dxa" w:w="6264"/>
          </w:tcPr>
          <w:p>
            <w:pPr>
              <w:spacing w:after="20" w:before="20"/>
            </w:pPr>
            <w:r/>
            <w:r>
              <w:rPr>
                <w:sz w:val="15"/>
              </w:rPr>
              <w:t>Last narrative sentence is a stem-frame fragment ('Teniendo en cuenta…')</w:t>
            </w:r>
          </w:p>
        </w:tc>
        <w:tc>
          <w:tcPr>
            <w:tcW w:type="dxa" w:w="1152"/>
          </w:tcPr>
          <w:p>
            <w:pPr>
              <w:spacing w:after="20" w:before="20"/>
              <w:jc w:val="right"/>
            </w:pPr>
            <w:r/>
            <w:r>
              <w:rPr>
                <w:sz w:val="15"/>
              </w:rPr>
              <w:t>7</w:t>
            </w:r>
          </w:p>
        </w:tc>
        <w:tc>
          <w:tcPr>
            <w:tcW w:type="dxa" w:w="1296"/>
          </w:tcPr>
          <w:p>
            <w:pPr>
              <w:spacing w:after="20" w:before="20"/>
              <w:jc w:val="right"/>
            </w:pPr>
            <w:r/>
            <w:r>
              <w:rPr>
                <w:sz w:val="15"/>
              </w:rPr>
              <w:t>223</w:t>
            </w:r>
          </w:p>
        </w:tc>
      </w:tr>
      <w:tr>
        <w:tc>
          <w:tcPr>
            <w:tcW w:type="dxa" w:w="792"/>
          </w:tcPr>
          <w:p>
            <w:pPr>
              <w:spacing w:after="20" w:before="20"/>
            </w:pPr>
            <w:r/>
            <w:r>
              <w:rPr>
                <w:sz w:val="15"/>
              </w:rPr>
              <w:t>F</w:t>
            </w:r>
          </w:p>
        </w:tc>
        <w:tc>
          <w:tcPr>
            <w:tcW w:type="dxa" w:w="6264"/>
          </w:tcPr>
          <w:p>
            <w:pPr>
              <w:spacing w:after="20" w:before="20"/>
            </w:pPr>
            <w:r/>
            <w:r>
              <w:rPr>
                <w:sz w:val="15"/>
              </w:rPr>
              <w:t>Narrative does not end in a period, so appending would not be a pure append</w:t>
            </w:r>
          </w:p>
        </w:tc>
        <w:tc>
          <w:tcPr>
            <w:tcW w:type="dxa" w:w="1152"/>
          </w:tcPr>
          <w:p>
            <w:pPr>
              <w:spacing w:after="20" w:before="20"/>
              <w:jc w:val="right"/>
            </w:pPr>
            <w:r/>
            <w:r>
              <w:rPr>
                <w:sz w:val="15"/>
              </w:rPr>
              <w:t>10</w:t>
            </w:r>
          </w:p>
        </w:tc>
        <w:tc>
          <w:tcPr>
            <w:tcW w:type="dxa" w:w="1296"/>
          </w:tcPr>
          <w:p>
            <w:pPr>
              <w:spacing w:after="20" w:before="20"/>
              <w:jc w:val="right"/>
            </w:pPr>
            <w:r/>
            <w:r>
              <w:rPr>
                <w:sz w:val="15"/>
              </w:rPr>
              <w:t>213</w:t>
            </w:r>
          </w:p>
        </w:tc>
      </w:tr>
      <w:tr>
        <w:tc>
          <w:tcPr>
            <w:tcW w:type="dxa" w:w="792"/>
          </w:tcPr>
          <w:p>
            <w:pPr>
              <w:spacing w:after="20" w:before="20"/>
            </w:pPr>
            <w:r/>
            <w:r>
              <w:rPr>
                <w:sz w:val="15"/>
              </w:rPr>
              <w:t>G</w:t>
            </w:r>
          </w:p>
        </w:tc>
        <w:tc>
          <w:tcPr>
            <w:tcW w:type="dxa" w:w="6264"/>
          </w:tcPr>
          <w:p>
            <w:pPr>
              <w:spacing w:after="20" w:before="20"/>
            </w:pPr>
            <w:r/>
            <w:r>
              <w:rPr>
                <w:sz w:val="15"/>
              </w:rPr>
              <w:t>No patient anchor — nothing for a clinical finding to attach to</w:t>
            </w:r>
          </w:p>
        </w:tc>
        <w:tc>
          <w:tcPr>
            <w:tcW w:type="dxa" w:w="1152"/>
          </w:tcPr>
          <w:p>
            <w:pPr>
              <w:spacing w:after="20" w:before="20"/>
              <w:jc w:val="right"/>
            </w:pPr>
            <w:r/>
            <w:r>
              <w:rPr>
                <w:sz w:val="15"/>
              </w:rPr>
              <w:t>18</w:t>
            </w:r>
          </w:p>
        </w:tc>
        <w:tc>
          <w:tcPr>
            <w:tcW w:type="dxa" w:w="1296"/>
          </w:tcPr>
          <w:p>
            <w:pPr>
              <w:spacing w:after="20" w:before="20"/>
              <w:jc w:val="right"/>
            </w:pPr>
            <w:r/>
            <w:r>
              <w:rPr>
                <w:sz w:val="15"/>
              </w:rPr>
              <w:t>195</w:t>
            </w:r>
          </w:p>
        </w:tc>
      </w:tr>
      <w:tr>
        <w:tc>
          <w:tcPr>
            <w:tcW w:type="dxa" w:w="792"/>
          </w:tcPr>
          <w:p>
            <w:pPr>
              <w:spacing w:after="20" w:before="20"/>
            </w:pPr>
            <w:r/>
            <w:r>
              <w:rPr>
                <w:sz w:val="15"/>
              </w:rPr>
              <w:t>I</w:t>
            </w:r>
          </w:p>
        </w:tc>
        <w:tc>
          <w:tcPr>
            <w:tcW w:type="dxa" w:w="6264"/>
          </w:tcPr>
          <w:p>
            <w:pPr>
              <w:spacing w:after="20" w:before="20"/>
            </w:pPr>
            <w:r/>
            <w:r>
              <w:rPr>
                <w:sz w:val="15"/>
              </w:rPr>
              <w:t>Narrative ends inside a hyphen-bulleted lab panel</w:t>
            </w:r>
          </w:p>
        </w:tc>
        <w:tc>
          <w:tcPr>
            <w:tcW w:type="dxa" w:w="1152"/>
          </w:tcPr>
          <w:p>
            <w:pPr>
              <w:spacing w:after="20" w:before="20"/>
              <w:jc w:val="right"/>
            </w:pPr>
            <w:r/>
            <w:r>
              <w:rPr>
                <w:sz w:val="15"/>
              </w:rPr>
              <w:t>13</w:t>
            </w:r>
          </w:p>
        </w:tc>
        <w:tc>
          <w:tcPr>
            <w:tcW w:type="dxa" w:w="1296"/>
          </w:tcPr>
          <w:p>
            <w:pPr>
              <w:spacing w:after="20" w:before="20"/>
              <w:jc w:val="right"/>
            </w:pPr>
            <w:r/>
            <w:r>
              <w:rPr>
                <w:sz w:val="15"/>
              </w:rPr>
              <w:t>182</w:t>
            </w:r>
          </w:p>
        </w:tc>
      </w:tr>
    </w:tbl>
    <w:p>
      <w:pPr>
        <w:spacing w:before="40" w:after="160"/>
      </w:pPr>
      <w:r>
        <w:rPr>
          <w:i/>
          <w:color w:val="444444"/>
          <w:sz w:val="15"/>
        </w:rPr>
        <w:t>Table 2. Mechanical funnel, 474 items down to 182. Guards are applied in the order shown; counts are first-hit.</w:t>
      </w:r>
    </w:p>
    <w:p>
      <w:pPr>
        <w:pStyle w:val="Heading2"/>
      </w:pPr>
      <w:r>
        <w:t>3.2 Guard A: the bank is mostly not clinical vignettes</w:t>
      </w:r>
    </w:p>
    <w:p>
      <w:r>
        <w:rPr>
          <w:b w:val="0"/>
          <w:i w:val="0"/>
        </w:rPr>
        <w:t>Guard A alone rejects 232 items, 49 per cent of the bank. These items have no sentence boundary anywhere in the question text: the whole item is a single fused sentence, typically a bare theory question of the form 'Regarding the treatment of X, indicate the correct answer'. There is no narrative, no patient, and no place to put a clinical finding. Inserting a sentence would not add a finding to a case; it would prepend an unattached assertion to an abstract question, which is a different manipulation with a different meaning.</w:t>
      </w:r>
    </w:p>
    <w:p>
      <w:r>
        <w:rPr>
          <w:b w:val="0"/>
          <w:i w:val="0"/>
        </w:rPr>
        <w:t>Guard G removes a further 18 items that do have a sentence boundary but still lack a patient anchor — no 'paciente', 'varón', 'mujer', 'niño' or an age in years. Together A and G account for 250 of the 474 rejections, and they are the reason a 200-item arm is not available. The remaining eight mechanical guards remove 42 items between them and are housekeeping: abbreviation splits mistaken for sentence ends, stems whose preamble is itself a laboratory panel, narratives that end inside a bulleted list, and so on.</w:t>
      </w:r>
    </w:p>
    <w:p>
      <w:pPr>
        <w:pStyle w:val="Heading2"/>
      </w:pPr>
      <w:r>
        <w:t>3.3 Answer-key preservation, and the strict/relaxed choice</w:t>
      </w:r>
    </w:p>
    <w:p>
      <w:r>
        <w:rPr>
          <w:b w:val="0"/>
          <w:i w:val="0"/>
        </w:rPr>
        <w:t>Guards J to N are then applied to the 182 survivors. They ask a different question: not 'can a sentence be inserted here', but 'could inserting a sentence here change which option is correct'. Guards K, L, M and N are uncontroversial and are always applied.</w:t>
      </w:r>
    </w:p>
    <w:tbl>
      <w:tblPr>
        <w:tblStyle w:val="TableGrid"/>
        <w:tblW w:type="auto" w:w="0"/>
        <w:jc w:val="left"/>
        <w:tblLayout w:type="autofit"/>
        <w:tblLook w:firstColumn="1" w:firstRow="1" w:lastColumn="0" w:lastRow="0" w:noHBand="0" w:noVBand="1" w:val="04A0"/>
      </w:tblPr>
      <w:tblGrid>
        <w:gridCol w:w="2484"/>
        <w:gridCol w:w="2484"/>
        <w:gridCol w:w="2484"/>
        <w:gridCol w:w="2484"/>
      </w:tblGrid>
      <w:tr>
        <w:tc>
          <w:tcPr>
            <w:tcW w:type="dxa" w:w="792"/>
          </w:tcPr>
          <w:p>
            <w:pPr>
              <w:spacing w:after="20" w:before="20"/>
            </w:pPr>
            <w:r/>
            <w:r>
              <w:rPr>
                <w:b/>
                <w:sz w:val="15"/>
              </w:rPr>
              <w:t>Guard</w:t>
            </w:r>
          </w:p>
        </w:tc>
        <w:tc>
          <w:tcPr>
            <w:tcW w:type="dxa" w:w="6264"/>
          </w:tcPr>
          <w:p>
            <w:pPr>
              <w:spacing w:after="20" w:before="20"/>
            </w:pPr>
            <w:r/>
            <w:r>
              <w:rPr>
                <w:b/>
                <w:sz w:val="15"/>
              </w:rPr>
              <w:t>Reason for rejection</w:t>
            </w:r>
          </w:p>
        </w:tc>
        <w:tc>
          <w:tcPr>
            <w:tcW w:type="dxa" w:w="1224"/>
          </w:tcPr>
          <w:p>
            <w:pPr>
              <w:spacing w:after="20" w:before="20"/>
            </w:pPr>
            <w:r/>
            <w:r>
              <w:rPr>
                <w:b/>
                <w:sz w:val="15"/>
              </w:rPr>
              <w:t>Strict rejects</w:t>
            </w:r>
          </w:p>
        </w:tc>
        <w:tc>
          <w:tcPr>
            <w:tcW w:type="dxa" w:w="1224"/>
          </w:tcPr>
          <w:p>
            <w:pPr>
              <w:spacing w:after="20" w:before="20"/>
            </w:pPr>
            <w:r/>
            <w:r>
              <w:rPr>
                <w:b/>
                <w:sz w:val="15"/>
              </w:rPr>
              <w:t>Relaxed rejects</w:t>
            </w:r>
          </w:p>
        </w:tc>
      </w:tr>
      <w:tr>
        <w:tc>
          <w:tcPr>
            <w:tcW w:type="dxa" w:w="792"/>
          </w:tcPr>
          <w:p>
            <w:pPr>
              <w:spacing w:after="20" w:before="20"/>
            </w:pPr>
            <w:r/>
            <w:r>
              <w:rPr>
                <w:sz w:val="15"/>
              </w:rPr>
              <w:t>K</w:t>
            </w:r>
          </w:p>
        </w:tc>
        <w:tc>
          <w:tcPr>
            <w:tcW w:type="dxa" w:w="6264"/>
          </w:tcPr>
          <w:p>
            <w:pPr>
              <w:spacing w:after="20" w:before="20"/>
            </w:pPr>
            <w:r/>
            <w:r>
              <w:rPr>
                <w:sz w:val="15"/>
              </w:rPr>
              <w:t>Stem or an option refers back to the evidence set, so insertion moves the referent</w:t>
            </w:r>
          </w:p>
        </w:tc>
        <w:tc>
          <w:tcPr>
            <w:tcW w:type="dxa" w:w="1224"/>
          </w:tcPr>
          <w:p>
            <w:pPr>
              <w:spacing w:after="20" w:before="20"/>
              <w:jc w:val="right"/>
            </w:pPr>
            <w:r/>
            <w:r>
              <w:rPr>
                <w:sz w:val="15"/>
              </w:rPr>
              <w:t>4</w:t>
            </w:r>
          </w:p>
        </w:tc>
        <w:tc>
          <w:tcPr>
            <w:tcW w:type="dxa" w:w="1224"/>
          </w:tcPr>
          <w:p>
            <w:pPr>
              <w:spacing w:after="20" w:before="20"/>
              <w:jc w:val="right"/>
            </w:pPr>
            <w:r/>
            <w:r>
              <w:rPr>
                <w:sz w:val="15"/>
              </w:rPr>
              <w:t>6</w:t>
            </w:r>
          </w:p>
        </w:tc>
      </w:tr>
      <w:tr>
        <w:tc>
          <w:tcPr>
            <w:tcW w:type="dxa" w:w="792"/>
          </w:tcPr>
          <w:p>
            <w:pPr>
              <w:spacing w:after="20" w:before="20"/>
            </w:pPr>
            <w:r/>
            <w:r>
              <w:rPr>
                <w:sz w:val="15"/>
              </w:rPr>
              <w:t>L</w:t>
            </w:r>
          </w:p>
        </w:tc>
        <w:tc>
          <w:tcPr>
            <w:tcW w:type="dxa" w:w="6264"/>
          </w:tcPr>
          <w:p>
            <w:pPr>
              <w:spacing w:after="20" w:before="20"/>
            </w:pPr>
            <w:r/>
            <w:r>
              <w:rPr>
                <w:sz w:val="15"/>
              </w:rPr>
              <w:t>Correct answer is an all/none aggregate, which an added finding can destabilise</w:t>
            </w:r>
          </w:p>
        </w:tc>
        <w:tc>
          <w:tcPr>
            <w:tcW w:type="dxa" w:w="1224"/>
          </w:tcPr>
          <w:p>
            <w:pPr>
              <w:spacing w:after="20" w:before="20"/>
              <w:jc w:val="right"/>
            </w:pPr>
            <w:r/>
            <w:r>
              <w:rPr>
                <w:sz w:val="15"/>
              </w:rPr>
              <w:t>18</w:t>
            </w:r>
          </w:p>
        </w:tc>
        <w:tc>
          <w:tcPr>
            <w:tcW w:type="dxa" w:w="1224"/>
          </w:tcPr>
          <w:p>
            <w:pPr>
              <w:spacing w:after="20" w:before="20"/>
              <w:jc w:val="right"/>
            </w:pPr>
            <w:r/>
            <w:r>
              <w:rPr>
                <w:sz w:val="15"/>
              </w:rPr>
              <w:t>22</w:t>
            </w:r>
          </w:p>
        </w:tc>
      </w:tr>
      <w:tr>
        <w:tc>
          <w:tcPr>
            <w:tcW w:type="dxa" w:w="792"/>
          </w:tcPr>
          <w:p>
            <w:pPr>
              <w:spacing w:after="20" w:before="20"/>
            </w:pPr>
            <w:r/>
            <w:r>
              <w:rPr>
                <w:sz w:val="15"/>
              </w:rPr>
              <w:t>M</w:t>
            </w:r>
          </w:p>
        </w:tc>
        <w:tc>
          <w:tcPr>
            <w:tcW w:type="dxa" w:w="6264"/>
          </w:tcPr>
          <w:p>
            <w:pPr>
              <w:spacing w:after="20" w:before="20"/>
            </w:pPr>
            <w:r/>
            <w:r>
              <w:rPr>
                <w:sz w:val="15"/>
              </w:rPr>
              <w:t>Stem asks for a computed score or stage</w:t>
            </w:r>
          </w:p>
        </w:tc>
        <w:tc>
          <w:tcPr>
            <w:tcW w:type="dxa" w:w="1224"/>
          </w:tcPr>
          <w:p>
            <w:pPr>
              <w:spacing w:after="20" w:before="20"/>
              <w:jc w:val="right"/>
            </w:pPr>
            <w:r/>
            <w:r>
              <w:rPr>
                <w:sz w:val="15"/>
              </w:rPr>
              <w:t>4</w:t>
            </w:r>
          </w:p>
        </w:tc>
        <w:tc>
          <w:tcPr>
            <w:tcW w:type="dxa" w:w="1224"/>
          </w:tcPr>
          <w:p>
            <w:pPr>
              <w:spacing w:after="20" w:before="20"/>
              <w:jc w:val="right"/>
            </w:pPr>
            <w:r/>
            <w:r>
              <w:rPr>
                <w:sz w:val="15"/>
              </w:rPr>
              <w:t>4</w:t>
            </w:r>
          </w:p>
        </w:tc>
      </w:tr>
      <w:tr>
        <w:tc>
          <w:tcPr>
            <w:tcW w:type="dxa" w:w="792"/>
          </w:tcPr>
          <w:p>
            <w:pPr>
              <w:spacing w:after="20" w:before="20"/>
            </w:pPr>
            <w:r/>
            <w:r>
              <w:rPr>
                <w:sz w:val="15"/>
              </w:rPr>
              <w:t>N</w:t>
            </w:r>
          </w:p>
        </w:tc>
        <w:tc>
          <w:tcPr>
            <w:tcW w:type="dxa" w:w="6264"/>
          </w:tcPr>
          <w:p>
            <w:pPr>
              <w:spacing w:after="20" w:before="20"/>
            </w:pPr>
            <w:r/>
            <w:r>
              <w:rPr>
                <w:sz w:val="15"/>
              </w:rPr>
              <w:t>Stem is about a third party, not the patient the finding attaches to</w:t>
            </w:r>
          </w:p>
        </w:tc>
        <w:tc>
          <w:tcPr>
            <w:tcW w:type="dxa" w:w="1224"/>
          </w:tcPr>
          <w:p>
            <w:pPr>
              <w:spacing w:after="20" w:before="20"/>
              <w:jc w:val="right"/>
            </w:pPr>
            <w:r/>
            <w:r>
              <w:rPr>
                <w:sz w:val="15"/>
              </w:rPr>
              <w:t>0</w:t>
            </w:r>
          </w:p>
        </w:tc>
        <w:tc>
          <w:tcPr>
            <w:tcW w:type="dxa" w:w="1224"/>
          </w:tcPr>
          <w:p>
            <w:pPr>
              <w:spacing w:after="20" w:before="20"/>
              <w:jc w:val="right"/>
            </w:pPr>
            <w:r/>
            <w:r>
              <w:rPr>
                <w:sz w:val="15"/>
              </w:rPr>
              <w:t>2</w:t>
            </w:r>
          </w:p>
        </w:tc>
      </w:tr>
    </w:tbl>
    <w:p>
      <w:pPr>
        <w:spacing w:before="40" w:after="160"/>
      </w:pPr>
      <w:r>
        <w:rPr>
          <w:i/>
          <w:color w:val="444444"/>
          <w:sz w:val="15"/>
        </w:rPr>
        <w:t>Table 3. Always-applied key-preservation guards. Counts are first-hit within each tier, so the strict column is smaller where guard J has already removed the item.</w:t>
      </w:r>
    </w:p>
    <w:p>
      <w:r>
        <w:rPr>
          <w:b w:val="0"/>
          <w:i w:val="0"/>
        </w:rPr>
        <w:t>Guard J is the genuine trade-off. It removes decision-type stems — 'what is the next step', 'which test would you request', 'what is the most likely diagnosis', 'which treatment'. In the strict tier it rejects 64 of the 182 mechanically insertable items, more than the other four key guards combined, and it is the entire difference between the strict base of 92 and the relaxed base of 148.</w:t>
      </w:r>
    </w:p>
    <w:p>
      <w:r>
        <w:rPr>
          <w:b w:val="0"/>
          <w:i w:val="0"/>
        </w:rPr>
        <w:t>The argument for applying J is sound. On a decision stem a new abnormal finding is exactly the kind of evidence that ought to change the recommended action, so if the fabricated biomarker were real the correct answer to 'what is the next step' might genuinely differ; control and manipulated conditions would no longer share a defensible key.</w:t>
      </w:r>
    </w:p>
    <w:p>
      <w:r>
        <w:rPr>
          <w:b w:val="0"/>
          <w:i w:val="0"/>
        </w:rPr>
        <w:t>The argument against applying J is equally sound and matters more here. Decision stems are precisely the items where a model has a reason to use the new finding. On a factual or negated stem — 'which of the following is false about colorectal cancer' — a competent model can and should ignore the appended sentence entirely, because the question does not depend on the patient. Removing all decision stems therefore removes the items that carry the signal and retains the items on which correct behaviour is indistinguishable from never having read the insertion. Guard J protects the answer key at the direct cost of measurement sensitivity.</w:t>
      </w:r>
    </w:p>
    <w:p>
      <w:r>
        <w:rPr>
          <w:b w:val="0"/>
          <w:i w:val="0"/>
        </w:rPr>
        <w:t>Both tiers are therefore reported and both item sets are delivered. Which to use is a design decision that follows from section 5: if the outcome measure remains the multiple-choice letter, the strict tier is correct and the experiment is uninformative either way. If the outcome measure becomes the model's free-text handling of the entity, the relaxed tier is correct, and guard J's removals become the most valuable items in the bank.</w:t>
      </w:r>
    </w:p>
    <w:p>
      <w:pPr>
        <w:pStyle w:val="Heading2"/>
      </w:pPr>
      <w:r>
        <w:t>3.4 Per-arm admissibility</w:t>
      </w:r>
    </w:p>
    <w:p>
      <w:r>
        <w:rPr>
          <w:b w:val="0"/>
          <w:i w:val="0"/>
        </w:rPr>
        <w:t>A key-preserving item can still be unsuitable for one arm. An item that already states that the laboratory workup is normal cannot receive a fabricated abnormal serum marker without a direct self-contradiction, and an item whose options discuss laboratory findings would have its options' referent moved by the insertion. The same applies to the anatomy arm for items that already state that the physical examination is unremarkable, or whose options discuss examination findings. These two gates produce the arm counts in Table 1, and their intersection produces the paired sets.</w:t>
      </w:r>
    </w:p>
    <w:p>
      <w:pPr>
        <w:pStyle w:val="Heading1"/>
      </w:pPr>
      <w:r>
        <w:t>4. The eligible item sets</w:t>
      </w:r>
    </w:p>
    <w:p>
      <w:r>
        <w:rPr>
          <w:b w:val="0"/>
          <w:i w:val="0"/>
        </w:rPr>
        <w:t>This section characterises the two paired sets — 37 strict and 58 relaxed — since a paired set is what a within-item design needs. The single-arm sets are summarised alongside for comparison.</w:t>
      </w:r>
    </w:p>
    <w:tbl>
      <w:tblPr>
        <w:tblStyle w:val="TableGrid"/>
        <w:tblW w:type="auto" w:w="0"/>
        <w:jc w:val="left"/>
        <w:tblLayout w:type="autofit"/>
        <w:tblLook w:firstColumn="1" w:firstRow="1" w:lastColumn="0" w:lastRow="0" w:noHBand="0" w:noVBand="1" w:val="04A0"/>
      </w:tblPr>
      <w:tblGrid>
        <w:gridCol w:w="1987"/>
        <w:gridCol w:w="1987"/>
        <w:gridCol w:w="1987"/>
        <w:gridCol w:w="1987"/>
        <w:gridCol w:w="1987"/>
      </w:tblGrid>
      <w:tr>
        <w:tc>
          <w:tcPr>
            <w:tcW w:type="dxa" w:w="3096"/>
          </w:tcPr>
          <w:p>
            <w:pPr>
              <w:spacing w:after="20" w:before="20"/>
            </w:pPr>
            <w:r/>
            <w:r>
              <w:rPr>
                <w:b/>
                <w:sz w:val="15"/>
              </w:rPr>
            </w:r>
          </w:p>
        </w:tc>
        <w:tc>
          <w:tcPr>
            <w:tcW w:type="dxa" w:w="1584"/>
          </w:tcPr>
          <w:p>
            <w:pPr>
              <w:spacing w:after="20" w:before="20"/>
            </w:pPr>
            <w:r/>
            <w:r>
              <w:rPr>
                <w:b/>
                <w:sz w:val="15"/>
              </w:rPr>
              <w:t>Strict paired (37)</w:t>
            </w:r>
          </w:p>
        </w:tc>
        <w:tc>
          <w:tcPr>
            <w:tcW w:type="dxa" w:w="1656"/>
          </w:tcPr>
          <w:p>
            <w:pPr>
              <w:spacing w:after="20" w:before="20"/>
            </w:pPr>
            <w:r/>
            <w:r>
              <w:rPr>
                <w:b/>
                <w:sz w:val="15"/>
              </w:rPr>
              <w:t>Relaxed paired (58)</w:t>
            </w:r>
          </w:p>
        </w:tc>
        <w:tc>
          <w:tcPr>
            <w:tcW w:type="dxa" w:w="1584"/>
          </w:tcPr>
          <w:p>
            <w:pPr>
              <w:spacing w:after="20" w:before="20"/>
            </w:pPr>
            <w:r/>
            <w:r>
              <w:rPr>
                <w:b/>
                <w:sz w:val="15"/>
              </w:rPr>
              <w:t>Biomarker arm (99)</w:t>
            </w:r>
          </w:p>
        </w:tc>
        <w:tc>
          <w:tcPr>
            <w:tcW w:type="dxa" w:w="1584"/>
          </w:tcPr>
          <w:p>
            <w:pPr>
              <w:spacing w:after="20" w:before="20"/>
            </w:pPr>
            <w:r/>
            <w:r>
              <w:rPr>
                <w:b/>
                <w:sz w:val="15"/>
              </w:rPr>
              <w:t>Anatomy arm (86)</w:t>
            </w:r>
          </w:p>
        </w:tc>
      </w:tr>
      <w:tr>
        <w:tc>
          <w:tcPr>
            <w:tcW w:type="dxa" w:w="3096"/>
          </w:tcPr>
          <w:p>
            <w:pPr>
              <w:spacing w:after="20" w:before="20"/>
            </w:pPr>
            <w:r/>
            <w:r>
              <w:rPr>
                <w:sz w:val="15"/>
              </w:rPr>
              <w:t>Region</w:t>
            </w:r>
          </w:p>
        </w:tc>
        <w:tc>
          <w:tcPr>
            <w:tcW w:type="dxa" w:w="1584"/>
          </w:tcPr>
          <w:p>
            <w:pPr>
              <w:spacing w:after="20" w:before="20"/>
              <w:jc w:val="right"/>
            </w:pPr>
            <w:r/>
            <w:r>
              <w:rPr>
                <w:sz w:val="15"/>
              </w:rPr>
            </w:r>
          </w:p>
        </w:tc>
        <w:tc>
          <w:tcPr>
            <w:tcW w:type="dxa" w:w="1656"/>
          </w:tcPr>
          <w:p>
            <w:pPr>
              <w:spacing w:after="20" w:before="20"/>
              <w:jc w:val="right"/>
            </w:pPr>
            <w:r/>
            <w:r>
              <w:rPr>
                <w:sz w:val="15"/>
              </w:rPr>
            </w:r>
          </w:p>
        </w:tc>
        <w:tc>
          <w:tcPr>
            <w:tcW w:type="dxa" w:w="1584"/>
          </w:tcPr>
          <w:p>
            <w:pPr>
              <w:spacing w:after="20" w:before="20"/>
              <w:jc w:val="right"/>
            </w:pPr>
            <w:r/>
            <w:r>
              <w:rPr>
                <w:sz w:val="15"/>
              </w:rPr>
            </w:r>
          </w:p>
        </w:tc>
        <w:tc>
          <w:tcPr>
            <w:tcW w:type="dxa" w:w="1584"/>
          </w:tcPr>
          <w:p>
            <w:pPr>
              <w:spacing w:after="20" w:before="20"/>
              <w:jc w:val="right"/>
            </w:pPr>
            <w:r/>
            <w:r>
              <w:rPr>
                <w:sz w:val="15"/>
              </w:rPr>
            </w:r>
          </w:p>
        </w:tc>
      </w:tr>
      <w:tr>
        <w:tc>
          <w:tcPr>
            <w:tcW w:type="dxa" w:w="3096"/>
          </w:tcPr>
          <w:p>
            <w:pPr>
              <w:spacing w:after="20" w:before="20"/>
            </w:pPr>
            <w:r/>
            <w:r>
              <w:rPr>
                <w:sz w:val="15"/>
              </w:rPr>
              <w:t xml:space="preserve">   Illes Balears</w:t>
            </w:r>
          </w:p>
        </w:tc>
        <w:tc>
          <w:tcPr>
            <w:tcW w:type="dxa" w:w="1584"/>
          </w:tcPr>
          <w:p>
            <w:pPr>
              <w:spacing w:after="20" w:before="20"/>
              <w:jc w:val="right"/>
            </w:pPr>
            <w:r/>
            <w:r>
              <w:rPr>
                <w:sz w:val="15"/>
              </w:rPr>
              <w:t>25</w:t>
            </w:r>
          </w:p>
        </w:tc>
        <w:tc>
          <w:tcPr>
            <w:tcW w:type="dxa" w:w="1656"/>
          </w:tcPr>
          <w:p>
            <w:pPr>
              <w:spacing w:after="20" w:before="20"/>
              <w:jc w:val="right"/>
            </w:pPr>
            <w:r/>
            <w:r>
              <w:rPr>
                <w:sz w:val="15"/>
              </w:rPr>
              <w:t>32</w:t>
            </w:r>
          </w:p>
        </w:tc>
        <w:tc>
          <w:tcPr>
            <w:tcW w:type="dxa" w:w="1584"/>
          </w:tcPr>
          <w:p>
            <w:pPr>
              <w:spacing w:after="20" w:before="20"/>
              <w:jc w:val="right"/>
            </w:pPr>
            <w:r/>
            <w:r>
              <w:rPr>
                <w:sz w:val="15"/>
              </w:rPr>
              <w:t>65</w:t>
            </w:r>
          </w:p>
        </w:tc>
        <w:tc>
          <w:tcPr>
            <w:tcW w:type="dxa" w:w="1584"/>
          </w:tcPr>
          <w:p>
            <w:pPr>
              <w:spacing w:after="20" w:before="20"/>
              <w:jc w:val="right"/>
            </w:pPr>
            <w:r/>
            <w:r>
              <w:rPr>
                <w:sz w:val="15"/>
              </w:rPr>
              <w:t>54</w:t>
            </w:r>
          </w:p>
        </w:tc>
      </w:tr>
      <w:tr>
        <w:tc>
          <w:tcPr>
            <w:tcW w:type="dxa" w:w="3096"/>
          </w:tcPr>
          <w:p>
            <w:pPr>
              <w:spacing w:after="20" w:before="20"/>
            </w:pPr>
            <w:r/>
            <w:r>
              <w:rPr>
                <w:sz w:val="15"/>
              </w:rPr>
              <w:t xml:space="preserve">   Andalucía</w:t>
            </w:r>
          </w:p>
        </w:tc>
        <w:tc>
          <w:tcPr>
            <w:tcW w:type="dxa" w:w="1584"/>
          </w:tcPr>
          <w:p>
            <w:pPr>
              <w:spacing w:after="20" w:before="20"/>
              <w:jc w:val="right"/>
            </w:pPr>
            <w:r/>
            <w:r>
              <w:rPr>
                <w:sz w:val="15"/>
              </w:rPr>
              <w:t>5</w:t>
            </w:r>
          </w:p>
        </w:tc>
        <w:tc>
          <w:tcPr>
            <w:tcW w:type="dxa" w:w="1656"/>
          </w:tcPr>
          <w:p>
            <w:pPr>
              <w:spacing w:after="20" w:before="20"/>
              <w:jc w:val="right"/>
            </w:pPr>
            <w:r/>
            <w:r>
              <w:rPr>
                <w:sz w:val="15"/>
              </w:rPr>
              <w:t>9</w:t>
            </w:r>
          </w:p>
        </w:tc>
        <w:tc>
          <w:tcPr>
            <w:tcW w:type="dxa" w:w="1584"/>
          </w:tcPr>
          <w:p>
            <w:pPr>
              <w:spacing w:after="20" w:before="20"/>
              <w:jc w:val="right"/>
            </w:pPr>
            <w:r/>
            <w:r>
              <w:rPr>
                <w:sz w:val="15"/>
              </w:rPr>
              <w:t>14</w:t>
            </w:r>
          </w:p>
        </w:tc>
        <w:tc>
          <w:tcPr>
            <w:tcW w:type="dxa" w:w="1584"/>
          </w:tcPr>
          <w:p>
            <w:pPr>
              <w:spacing w:after="20" w:before="20"/>
              <w:jc w:val="right"/>
            </w:pPr>
            <w:r/>
            <w:r>
              <w:rPr>
                <w:sz w:val="15"/>
              </w:rPr>
              <w:t>12</w:t>
            </w:r>
          </w:p>
        </w:tc>
      </w:tr>
      <w:tr>
        <w:tc>
          <w:tcPr>
            <w:tcW w:type="dxa" w:w="3096"/>
          </w:tcPr>
          <w:p>
            <w:pPr>
              <w:spacing w:after="20" w:before="20"/>
            </w:pPr>
            <w:r/>
            <w:r>
              <w:rPr>
                <w:sz w:val="15"/>
              </w:rPr>
              <w:t xml:space="preserve">   Galicia</w:t>
            </w:r>
          </w:p>
        </w:tc>
        <w:tc>
          <w:tcPr>
            <w:tcW w:type="dxa" w:w="1584"/>
          </w:tcPr>
          <w:p>
            <w:pPr>
              <w:spacing w:after="20" w:before="20"/>
              <w:jc w:val="right"/>
            </w:pPr>
            <w:r/>
            <w:r>
              <w:rPr>
                <w:sz w:val="15"/>
              </w:rPr>
              <w:t>2</w:t>
            </w:r>
          </w:p>
        </w:tc>
        <w:tc>
          <w:tcPr>
            <w:tcW w:type="dxa" w:w="1656"/>
          </w:tcPr>
          <w:p>
            <w:pPr>
              <w:spacing w:after="20" w:before="20"/>
              <w:jc w:val="right"/>
            </w:pPr>
            <w:r/>
            <w:r>
              <w:rPr>
                <w:sz w:val="15"/>
              </w:rPr>
              <w:t>4</w:t>
            </w:r>
          </w:p>
        </w:tc>
        <w:tc>
          <w:tcPr>
            <w:tcW w:type="dxa" w:w="1584"/>
          </w:tcPr>
          <w:p>
            <w:pPr>
              <w:spacing w:after="20" w:before="20"/>
              <w:jc w:val="right"/>
            </w:pPr>
            <w:r/>
            <w:r>
              <w:rPr>
                <w:sz w:val="15"/>
              </w:rPr>
              <w:t>5</w:t>
            </w:r>
          </w:p>
        </w:tc>
        <w:tc>
          <w:tcPr>
            <w:tcW w:type="dxa" w:w="1584"/>
          </w:tcPr>
          <w:p>
            <w:pPr>
              <w:spacing w:after="20" w:before="20"/>
              <w:jc w:val="right"/>
            </w:pPr>
            <w:r/>
            <w:r>
              <w:rPr>
                <w:sz w:val="15"/>
              </w:rPr>
              <w:t>5</w:t>
            </w:r>
          </w:p>
        </w:tc>
      </w:tr>
      <w:tr>
        <w:tc>
          <w:tcPr>
            <w:tcW w:type="dxa" w:w="3096"/>
          </w:tcPr>
          <w:p>
            <w:pPr>
              <w:spacing w:after="20" w:before="20"/>
            </w:pPr>
            <w:r/>
            <w:r>
              <w:rPr>
                <w:sz w:val="15"/>
              </w:rPr>
              <w:t xml:space="preserve">   Región de Murcia</w:t>
            </w:r>
          </w:p>
        </w:tc>
        <w:tc>
          <w:tcPr>
            <w:tcW w:type="dxa" w:w="1584"/>
          </w:tcPr>
          <w:p>
            <w:pPr>
              <w:spacing w:after="20" w:before="20"/>
              <w:jc w:val="right"/>
            </w:pPr>
            <w:r/>
            <w:r>
              <w:rPr>
                <w:sz w:val="15"/>
              </w:rPr>
              <w:t>1</w:t>
            </w:r>
          </w:p>
        </w:tc>
        <w:tc>
          <w:tcPr>
            <w:tcW w:type="dxa" w:w="1656"/>
          </w:tcPr>
          <w:p>
            <w:pPr>
              <w:spacing w:after="20" w:before="20"/>
              <w:jc w:val="right"/>
            </w:pPr>
            <w:r/>
            <w:r>
              <w:rPr>
                <w:sz w:val="15"/>
              </w:rPr>
              <w:t>4</w:t>
            </w:r>
          </w:p>
        </w:tc>
        <w:tc>
          <w:tcPr>
            <w:tcW w:type="dxa" w:w="1584"/>
          </w:tcPr>
          <w:p>
            <w:pPr>
              <w:spacing w:after="20" w:before="20"/>
              <w:jc w:val="right"/>
            </w:pPr>
            <w:r/>
            <w:r>
              <w:rPr>
                <w:sz w:val="15"/>
              </w:rPr>
              <w:t>5</w:t>
            </w:r>
          </w:p>
        </w:tc>
        <w:tc>
          <w:tcPr>
            <w:tcW w:type="dxa" w:w="1584"/>
          </w:tcPr>
          <w:p>
            <w:pPr>
              <w:spacing w:after="20" w:before="20"/>
              <w:jc w:val="right"/>
            </w:pPr>
            <w:r/>
            <w:r>
              <w:rPr>
                <w:sz w:val="15"/>
              </w:rPr>
              <w:t>4</w:t>
            </w:r>
          </w:p>
        </w:tc>
      </w:tr>
      <w:tr>
        <w:tc>
          <w:tcPr>
            <w:tcW w:type="dxa" w:w="3096"/>
          </w:tcPr>
          <w:p>
            <w:pPr>
              <w:spacing w:after="20" w:before="20"/>
            </w:pPr>
            <w:r/>
            <w:r>
              <w:rPr>
                <w:sz w:val="15"/>
              </w:rPr>
              <w:t xml:space="preserve">   Navarra</w:t>
            </w:r>
          </w:p>
        </w:tc>
        <w:tc>
          <w:tcPr>
            <w:tcW w:type="dxa" w:w="1584"/>
          </w:tcPr>
          <w:p>
            <w:pPr>
              <w:spacing w:after="20" w:before="20"/>
              <w:jc w:val="right"/>
            </w:pPr>
            <w:r/>
            <w:r>
              <w:rPr>
                <w:sz w:val="15"/>
              </w:rPr>
              <w:t>1</w:t>
            </w:r>
          </w:p>
        </w:tc>
        <w:tc>
          <w:tcPr>
            <w:tcW w:type="dxa" w:w="1656"/>
          </w:tcPr>
          <w:p>
            <w:pPr>
              <w:spacing w:after="20" w:before="20"/>
              <w:jc w:val="right"/>
            </w:pPr>
            <w:r/>
            <w:r>
              <w:rPr>
                <w:sz w:val="15"/>
              </w:rPr>
              <w:t>3</w:t>
            </w:r>
          </w:p>
        </w:tc>
        <w:tc>
          <w:tcPr>
            <w:tcW w:type="dxa" w:w="1584"/>
          </w:tcPr>
          <w:p>
            <w:pPr>
              <w:spacing w:after="20" w:before="20"/>
              <w:jc w:val="right"/>
            </w:pPr>
            <w:r/>
            <w:r>
              <w:rPr>
                <w:sz w:val="15"/>
              </w:rPr>
              <w:t>4</w:t>
            </w:r>
          </w:p>
        </w:tc>
        <w:tc>
          <w:tcPr>
            <w:tcW w:type="dxa" w:w="1584"/>
          </w:tcPr>
          <w:p>
            <w:pPr>
              <w:spacing w:after="20" w:before="20"/>
              <w:jc w:val="right"/>
            </w:pPr>
            <w:r/>
            <w:r>
              <w:rPr>
                <w:sz w:val="15"/>
              </w:rPr>
              <w:t>5</w:t>
            </w:r>
          </w:p>
        </w:tc>
      </w:tr>
      <w:tr>
        <w:tc>
          <w:tcPr>
            <w:tcW w:type="dxa" w:w="3096"/>
          </w:tcPr>
          <w:p>
            <w:pPr>
              <w:spacing w:after="20" w:before="20"/>
            </w:pPr>
            <w:r/>
            <w:r>
              <w:rPr>
                <w:sz w:val="15"/>
              </w:rPr>
              <w:t xml:space="preserve">   La Rioja</w:t>
            </w:r>
          </w:p>
        </w:tc>
        <w:tc>
          <w:tcPr>
            <w:tcW w:type="dxa" w:w="1584"/>
          </w:tcPr>
          <w:p>
            <w:pPr>
              <w:spacing w:after="20" w:before="20"/>
              <w:jc w:val="right"/>
            </w:pPr>
            <w:r/>
            <w:r>
              <w:rPr>
                <w:sz w:val="15"/>
              </w:rPr>
              <w:t>1</w:t>
            </w:r>
          </w:p>
        </w:tc>
        <w:tc>
          <w:tcPr>
            <w:tcW w:type="dxa" w:w="1656"/>
          </w:tcPr>
          <w:p>
            <w:pPr>
              <w:spacing w:after="20" w:before="20"/>
              <w:jc w:val="right"/>
            </w:pPr>
            <w:r/>
            <w:r>
              <w:rPr>
                <w:sz w:val="15"/>
              </w:rPr>
              <w:t>3</w:t>
            </w:r>
          </w:p>
        </w:tc>
        <w:tc>
          <w:tcPr>
            <w:tcW w:type="dxa" w:w="1584"/>
          </w:tcPr>
          <w:p>
            <w:pPr>
              <w:spacing w:after="20" w:before="20"/>
              <w:jc w:val="right"/>
            </w:pPr>
            <w:r/>
            <w:r>
              <w:rPr>
                <w:sz w:val="15"/>
              </w:rPr>
              <w:t>3</w:t>
            </w:r>
          </w:p>
        </w:tc>
        <w:tc>
          <w:tcPr>
            <w:tcW w:type="dxa" w:w="1584"/>
          </w:tcPr>
          <w:p>
            <w:pPr>
              <w:spacing w:after="20" w:before="20"/>
              <w:jc w:val="right"/>
            </w:pPr>
            <w:r/>
            <w:r>
              <w:rPr>
                <w:sz w:val="15"/>
              </w:rPr>
              <w:t>3</w:t>
            </w:r>
          </w:p>
        </w:tc>
      </w:tr>
      <w:tr>
        <w:tc>
          <w:tcPr>
            <w:tcW w:type="dxa" w:w="3096"/>
          </w:tcPr>
          <w:p>
            <w:pPr>
              <w:spacing w:after="20" w:before="20"/>
            </w:pPr>
            <w:r/>
            <w:r>
              <w:rPr>
                <w:sz w:val="15"/>
              </w:rPr>
              <w:t xml:space="preserve">   Castilla-La Mancha</w:t>
            </w:r>
          </w:p>
        </w:tc>
        <w:tc>
          <w:tcPr>
            <w:tcW w:type="dxa" w:w="1584"/>
          </w:tcPr>
          <w:p>
            <w:pPr>
              <w:spacing w:after="20" w:before="20"/>
              <w:jc w:val="right"/>
            </w:pPr>
            <w:r/>
            <w:r>
              <w:rPr>
                <w:sz w:val="15"/>
              </w:rPr>
              <w:t>1</w:t>
            </w:r>
          </w:p>
        </w:tc>
        <w:tc>
          <w:tcPr>
            <w:tcW w:type="dxa" w:w="1656"/>
          </w:tcPr>
          <w:p>
            <w:pPr>
              <w:spacing w:after="20" w:before="20"/>
              <w:jc w:val="right"/>
            </w:pPr>
            <w:r/>
            <w:r>
              <w:rPr>
                <w:sz w:val="15"/>
              </w:rPr>
              <w:t>2</w:t>
            </w:r>
          </w:p>
        </w:tc>
        <w:tc>
          <w:tcPr>
            <w:tcW w:type="dxa" w:w="1584"/>
          </w:tcPr>
          <w:p>
            <w:pPr>
              <w:spacing w:after="20" w:before="20"/>
              <w:jc w:val="right"/>
            </w:pPr>
            <w:r/>
            <w:r>
              <w:rPr>
                <w:sz w:val="15"/>
              </w:rPr>
              <w:t>2</w:t>
            </w:r>
          </w:p>
        </w:tc>
        <w:tc>
          <w:tcPr>
            <w:tcW w:type="dxa" w:w="1584"/>
          </w:tcPr>
          <w:p>
            <w:pPr>
              <w:spacing w:after="20" w:before="20"/>
              <w:jc w:val="right"/>
            </w:pPr>
            <w:r/>
            <w:r>
              <w:rPr>
                <w:sz w:val="15"/>
              </w:rPr>
              <w:t>2</w:t>
            </w:r>
          </w:p>
        </w:tc>
      </w:tr>
      <w:tr>
        <w:tc>
          <w:tcPr>
            <w:tcW w:type="dxa" w:w="3096"/>
          </w:tcPr>
          <w:p>
            <w:pPr>
              <w:spacing w:after="20" w:before="20"/>
            </w:pPr>
            <w:r/>
            <w:r>
              <w:rPr>
                <w:sz w:val="15"/>
              </w:rPr>
              <w:t xml:space="preserve">   Aragón</w:t>
            </w:r>
          </w:p>
        </w:tc>
        <w:tc>
          <w:tcPr>
            <w:tcW w:type="dxa" w:w="1584"/>
          </w:tcPr>
          <w:p>
            <w:pPr>
              <w:spacing w:after="20" w:before="20"/>
              <w:jc w:val="right"/>
            </w:pPr>
            <w:r/>
            <w:r>
              <w:rPr>
                <w:sz w:val="15"/>
              </w:rPr>
              <w:t>1</w:t>
            </w:r>
          </w:p>
        </w:tc>
        <w:tc>
          <w:tcPr>
            <w:tcW w:type="dxa" w:w="1656"/>
          </w:tcPr>
          <w:p>
            <w:pPr>
              <w:spacing w:after="20" w:before="20"/>
              <w:jc w:val="right"/>
            </w:pPr>
            <w:r/>
            <w:r>
              <w:rPr>
                <w:sz w:val="15"/>
              </w:rPr>
              <w:t>1</w:t>
            </w:r>
          </w:p>
        </w:tc>
        <w:tc>
          <w:tcPr>
            <w:tcW w:type="dxa" w:w="1584"/>
          </w:tcPr>
          <w:p>
            <w:pPr>
              <w:spacing w:after="20" w:before="20"/>
              <w:jc w:val="right"/>
            </w:pPr>
            <w:r/>
            <w:r>
              <w:rPr>
                <w:sz w:val="15"/>
              </w:rPr>
              <w:t>1</w:t>
            </w:r>
          </w:p>
        </w:tc>
        <w:tc>
          <w:tcPr>
            <w:tcW w:type="dxa" w:w="1584"/>
          </w:tcPr>
          <w:p>
            <w:pPr>
              <w:spacing w:after="20" w:before="20"/>
              <w:jc w:val="right"/>
            </w:pPr>
            <w:r/>
            <w:r>
              <w:rPr>
                <w:sz w:val="15"/>
              </w:rPr>
              <w:t>1</w:t>
            </w:r>
          </w:p>
        </w:tc>
      </w:tr>
      <w:tr>
        <w:tc>
          <w:tcPr>
            <w:tcW w:type="dxa" w:w="3096"/>
          </w:tcPr>
          <w:p>
            <w:pPr>
              <w:spacing w:after="20" w:before="20"/>
            </w:pPr>
            <w:r/>
            <w:r>
              <w:rPr>
                <w:sz w:val="15"/>
              </w:rPr>
              <w:t>Exam part</w:t>
            </w:r>
          </w:p>
        </w:tc>
        <w:tc>
          <w:tcPr>
            <w:tcW w:type="dxa" w:w="1584"/>
          </w:tcPr>
          <w:p>
            <w:pPr>
              <w:spacing w:after="20" w:before="20"/>
              <w:jc w:val="right"/>
            </w:pPr>
            <w:r/>
            <w:r>
              <w:rPr>
                <w:sz w:val="15"/>
              </w:rPr>
            </w:r>
          </w:p>
        </w:tc>
        <w:tc>
          <w:tcPr>
            <w:tcW w:type="dxa" w:w="1656"/>
          </w:tcPr>
          <w:p>
            <w:pPr>
              <w:spacing w:after="20" w:before="20"/>
              <w:jc w:val="right"/>
            </w:pPr>
            <w:r/>
            <w:r>
              <w:rPr>
                <w:sz w:val="15"/>
              </w:rPr>
            </w:r>
          </w:p>
        </w:tc>
        <w:tc>
          <w:tcPr>
            <w:tcW w:type="dxa" w:w="1584"/>
          </w:tcPr>
          <w:p>
            <w:pPr>
              <w:spacing w:after="20" w:before="20"/>
              <w:jc w:val="right"/>
            </w:pPr>
            <w:r/>
            <w:r>
              <w:rPr>
                <w:sz w:val="15"/>
              </w:rPr>
            </w:r>
          </w:p>
        </w:tc>
        <w:tc>
          <w:tcPr>
            <w:tcW w:type="dxa" w:w="1584"/>
          </w:tcPr>
          <w:p>
            <w:pPr>
              <w:spacing w:after="20" w:before="20"/>
              <w:jc w:val="right"/>
            </w:pPr>
            <w:r/>
            <w:r>
              <w:rPr>
                <w:sz w:val="15"/>
              </w:rPr>
            </w:r>
          </w:p>
        </w:tc>
      </w:tr>
      <w:tr>
        <w:tc>
          <w:tcPr>
            <w:tcW w:type="dxa" w:w="3096"/>
          </w:tcPr>
          <w:p>
            <w:pPr>
              <w:spacing w:after="20" w:before="20"/>
            </w:pPr>
            <w:r/>
            <w:r>
              <w:rPr>
                <w:sz w:val="15"/>
              </w:rPr>
              <w:t xml:space="preserve">   caso-2</w:t>
            </w:r>
          </w:p>
        </w:tc>
        <w:tc>
          <w:tcPr>
            <w:tcW w:type="dxa" w:w="1584"/>
          </w:tcPr>
          <w:p>
            <w:pPr>
              <w:spacing w:after="20" w:before="20"/>
              <w:jc w:val="right"/>
            </w:pPr>
            <w:r/>
            <w:r>
              <w:rPr>
                <w:sz w:val="15"/>
              </w:rPr>
              <w:t>16</w:t>
            </w:r>
          </w:p>
        </w:tc>
        <w:tc>
          <w:tcPr>
            <w:tcW w:type="dxa" w:w="1656"/>
          </w:tcPr>
          <w:p>
            <w:pPr>
              <w:spacing w:after="20" w:before="20"/>
              <w:jc w:val="right"/>
            </w:pPr>
            <w:r/>
            <w:r>
              <w:rPr>
                <w:sz w:val="15"/>
              </w:rPr>
              <w:t>20</w:t>
            </w:r>
          </w:p>
        </w:tc>
        <w:tc>
          <w:tcPr>
            <w:tcW w:type="dxa" w:w="1584"/>
          </w:tcPr>
          <w:p>
            <w:pPr>
              <w:spacing w:after="20" w:before="20"/>
              <w:jc w:val="right"/>
            </w:pPr>
            <w:r/>
            <w:r>
              <w:rPr>
                <w:sz w:val="15"/>
              </w:rPr>
              <w:t>20</w:t>
            </w:r>
          </w:p>
        </w:tc>
        <w:tc>
          <w:tcPr>
            <w:tcW w:type="dxa" w:w="1584"/>
          </w:tcPr>
          <w:p>
            <w:pPr>
              <w:spacing w:after="20" w:before="20"/>
              <w:jc w:val="right"/>
            </w:pPr>
            <w:r/>
            <w:r>
              <w:rPr>
                <w:sz w:val="15"/>
              </w:rPr>
              <w:t>20</w:t>
            </w:r>
          </w:p>
        </w:tc>
      </w:tr>
      <w:tr>
        <w:tc>
          <w:tcPr>
            <w:tcW w:type="dxa" w:w="3096"/>
          </w:tcPr>
          <w:p>
            <w:pPr>
              <w:spacing w:after="20" w:before="20"/>
            </w:pPr>
            <w:r/>
            <w:r>
              <w:rPr>
                <w:sz w:val="15"/>
              </w:rPr>
              <w:t xml:space="preserve">   caso-1</w:t>
            </w:r>
          </w:p>
        </w:tc>
        <w:tc>
          <w:tcPr>
            <w:tcW w:type="dxa" w:w="1584"/>
          </w:tcPr>
          <w:p>
            <w:pPr>
              <w:spacing w:after="20" w:before="20"/>
              <w:jc w:val="right"/>
            </w:pPr>
            <w:r/>
            <w:r>
              <w:rPr>
                <w:sz w:val="15"/>
              </w:rPr>
              <w:t>9</w:t>
            </w:r>
          </w:p>
        </w:tc>
        <w:tc>
          <w:tcPr>
            <w:tcW w:type="dxa" w:w="1656"/>
          </w:tcPr>
          <w:p>
            <w:pPr>
              <w:spacing w:after="20" w:before="20"/>
              <w:jc w:val="right"/>
            </w:pPr>
            <w:r/>
            <w:r>
              <w:rPr>
                <w:sz w:val="15"/>
              </w:rPr>
              <w:t>12</w:t>
            </w:r>
          </w:p>
        </w:tc>
        <w:tc>
          <w:tcPr>
            <w:tcW w:type="dxa" w:w="1584"/>
          </w:tcPr>
          <w:p>
            <w:pPr>
              <w:spacing w:after="20" w:before="20"/>
              <w:jc w:val="right"/>
            </w:pPr>
            <w:r/>
            <w:r>
              <w:rPr>
                <w:sz w:val="15"/>
              </w:rPr>
              <w:t>12</w:t>
            </w:r>
          </w:p>
        </w:tc>
        <w:tc>
          <w:tcPr>
            <w:tcW w:type="dxa" w:w="1584"/>
          </w:tcPr>
          <w:p>
            <w:pPr>
              <w:spacing w:after="20" w:before="20"/>
              <w:jc w:val="right"/>
            </w:pPr>
            <w:r/>
            <w:r>
              <w:rPr>
                <w:sz w:val="15"/>
              </w:rPr>
              <w:t>14</w:t>
            </w:r>
          </w:p>
        </w:tc>
      </w:tr>
      <w:tr>
        <w:tc>
          <w:tcPr>
            <w:tcW w:type="dxa" w:w="3096"/>
          </w:tcPr>
          <w:p>
            <w:pPr>
              <w:spacing w:after="20" w:before="20"/>
            </w:pPr>
            <w:r/>
            <w:r>
              <w:rPr>
                <w:sz w:val="15"/>
              </w:rPr>
              <w:t xml:space="preserve">   main</w:t>
            </w:r>
          </w:p>
        </w:tc>
        <w:tc>
          <w:tcPr>
            <w:tcW w:type="dxa" w:w="1584"/>
          </w:tcPr>
          <w:p>
            <w:pPr>
              <w:spacing w:after="20" w:before="20"/>
              <w:jc w:val="right"/>
            </w:pPr>
            <w:r/>
            <w:r>
              <w:rPr>
                <w:sz w:val="15"/>
              </w:rPr>
              <w:t>3</w:t>
            </w:r>
          </w:p>
        </w:tc>
        <w:tc>
          <w:tcPr>
            <w:tcW w:type="dxa" w:w="1656"/>
          </w:tcPr>
          <w:p>
            <w:pPr>
              <w:spacing w:after="20" w:before="20"/>
              <w:jc w:val="right"/>
            </w:pPr>
            <w:r/>
            <w:r>
              <w:rPr>
                <w:sz w:val="15"/>
              </w:rPr>
              <w:t>9</w:t>
            </w:r>
          </w:p>
        </w:tc>
        <w:tc>
          <w:tcPr>
            <w:tcW w:type="dxa" w:w="1584"/>
          </w:tcPr>
          <w:p>
            <w:pPr>
              <w:spacing w:after="20" w:before="20"/>
              <w:jc w:val="right"/>
            </w:pPr>
            <w:r/>
            <w:r>
              <w:rPr>
                <w:sz w:val="15"/>
              </w:rPr>
              <w:t>10</w:t>
            </w:r>
          </w:p>
        </w:tc>
        <w:tc>
          <w:tcPr>
            <w:tcW w:type="dxa" w:w="1584"/>
          </w:tcPr>
          <w:p>
            <w:pPr>
              <w:spacing w:after="20" w:before="20"/>
              <w:jc w:val="right"/>
            </w:pPr>
            <w:r/>
            <w:r>
              <w:rPr>
                <w:sz w:val="15"/>
              </w:rPr>
              <w:t>9</w:t>
            </w:r>
          </w:p>
        </w:tc>
      </w:tr>
      <w:tr>
        <w:tc>
          <w:tcPr>
            <w:tcW w:type="dxa" w:w="3096"/>
          </w:tcPr>
          <w:p>
            <w:pPr>
              <w:spacing w:after="20" w:before="20"/>
            </w:pPr>
            <w:r/>
            <w:r>
              <w:rPr>
                <w:sz w:val="15"/>
              </w:rPr>
              <w:t xml:space="preserve">   cuestionario-practico</w:t>
            </w:r>
          </w:p>
        </w:tc>
        <w:tc>
          <w:tcPr>
            <w:tcW w:type="dxa" w:w="1584"/>
          </w:tcPr>
          <w:p>
            <w:pPr>
              <w:spacing w:after="20" w:before="20"/>
              <w:jc w:val="right"/>
            </w:pPr>
            <w:r/>
            <w:r>
              <w:rPr>
                <w:sz w:val="15"/>
              </w:rPr>
              <w:t>3</w:t>
            </w:r>
          </w:p>
        </w:tc>
        <w:tc>
          <w:tcPr>
            <w:tcW w:type="dxa" w:w="1656"/>
          </w:tcPr>
          <w:p>
            <w:pPr>
              <w:spacing w:after="20" w:before="20"/>
              <w:jc w:val="right"/>
            </w:pPr>
            <w:r/>
            <w:r>
              <w:rPr>
                <w:sz w:val="15"/>
              </w:rPr>
              <w:t>7</w:t>
            </w:r>
          </w:p>
        </w:tc>
        <w:tc>
          <w:tcPr>
            <w:tcW w:type="dxa" w:w="1584"/>
          </w:tcPr>
          <w:p>
            <w:pPr>
              <w:spacing w:after="20" w:before="20"/>
              <w:jc w:val="right"/>
            </w:pPr>
            <w:r/>
            <w:r>
              <w:rPr>
                <w:sz w:val="15"/>
              </w:rPr>
              <w:t>12</w:t>
            </w:r>
          </w:p>
        </w:tc>
        <w:tc>
          <w:tcPr>
            <w:tcW w:type="dxa" w:w="1584"/>
          </w:tcPr>
          <w:p>
            <w:pPr>
              <w:spacing w:after="20" w:before="20"/>
              <w:jc w:val="right"/>
            </w:pPr>
            <w:r/>
            <w:r>
              <w:rPr>
                <w:sz w:val="15"/>
              </w:rPr>
              <w:t>9</w:t>
            </w:r>
          </w:p>
        </w:tc>
      </w:tr>
      <w:tr>
        <w:tc>
          <w:tcPr>
            <w:tcW w:type="dxa" w:w="3096"/>
          </w:tcPr>
          <w:p>
            <w:pPr>
              <w:spacing w:after="20" w:before="20"/>
            </w:pPr>
            <w:r/>
            <w:r>
              <w:rPr>
                <w:sz w:val="15"/>
              </w:rPr>
              <w:t xml:space="preserve">   reserva-especifica</w:t>
            </w:r>
          </w:p>
        </w:tc>
        <w:tc>
          <w:tcPr>
            <w:tcW w:type="dxa" w:w="1584"/>
          </w:tcPr>
          <w:p>
            <w:pPr>
              <w:spacing w:after="20" w:before="20"/>
              <w:jc w:val="right"/>
            </w:pPr>
            <w:r/>
            <w:r>
              <w:rPr>
                <w:sz w:val="15"/>
              </w:rPr>
              <w:t>2</w:t>
            </w:r>
          </w:p>
        </w:tc>
        <w:tc>
          <w:tcPr>
            <w:tcW w:type="dxa" w:w="1656"/>
          </w:tcPr>
          <w:p>
            <w:pPr>
              <w:spacing w:after="20" w:before="20"/>
              <w:jc w:val="right"/>
            </w:pPr>
            <w:r/>
            <w:r>
              <w:rPr>
                <w:sz w:val="15"/>
              </w:rPr>
              <w:t>4</w:t>
            </w:r>
          </w:p>
        </w:tc>
        <w:tc>
          <w:tcPr>
            <w:tcW w:type="dxa" w:w="1584"/>
          </w:tcPr>
          <w:p>
            <w:pPr>
              <w:spacing w:after="20" w:before="20"/>
              <w:jc w:val="right"/>
            </w:pPr>
            <w:r/>
            <w:r>
              <w:rPr>
                <w:sz w:val="15"/>
              </w:rPr>
              <w:t>5</w:t>
            </w:r>
          </w:p>
        </w:tc>
        <w:tc>
          <w:tcPr>
            <w:tcW w:type="dxa" w:w="1584"/>
          </w:tcPr>
          <w:p>
            <w:pPr>
              <w:spacing w:after="20" w:before="20"/>
              <w:jc w:val="right"/>
            </w:pPr>
            <w:r/>
            <w:r>
              <w:rPr>
                <w:sz w:val="15"/>
              </w:rPr>
              <w:t>5</w:t>
            </w:r>
          </w:p>
        </w:tc>
      </w:tr>
      <w:tr>
        <w:tc>
          <w:tcPr>
            <w:tcW w:type="dxa" w:w="3096"/>
          </w:tcPr>
          <w:p>
            <w:pPr>
              <w:spacing w:after="20" w:before="20"/>
            </w:pPr>
            <w:r/>
            <w:r>
              <w:rPr>
                <w:sz w:val="15"/>
              </w:rPr>
              <w:t xml:space="preserve">   cuestionario-teorico</w:t>
            </w:r>
          </w:p>
        </w:tc>
        <w:tc>
          <w:tcPr>
            <w:tcW w:type="dxa" w:w="1584"/>
          </w:tcPr>
          <w:p>
            <w:pPr>
              <w:spacing w:after="20" w:before="20"/>
              <w:jc w:val="right"/>
            </w:pPr>
            <w:r/>
            <w:r>
              <w:rPr>
                <w:sz w:val="15"/>
              </w:rPr>
              <w:t>2</w:t>
            </w:r>
          </w:p>
        </w:tc>
        <w:tc>
          <w:tcPr>
            <w:tcW w:type="dxa" w:w="1656"/>
          </w:tcPr>
          <w:p>
            <w:pPr>
              <w:spacing w:after="20" w:before="20"/>
              <w:jc w:val="right"/>
            </w:pPr>
            <w:r/>
            <w:r>
              <w:rPr>
                <w:sz w:val="15"/>
              </w:rPr>
              <w:t>2</w:t>
            </w:r>
          </w:p>
        </w:tc>
        <w:tc>
          <w:tcPr>
            <w:tcW w:type="dxa" w:w="1584"/>
          </w:tcPr>
          <w:p>
            <w:pPr>
              <w:spacing w:after="20" w:before="20"/>
              <w:jc w:val="right"/>
            </w:pPr>
            <w:r/>
            <w:r>
              <w:rPr>
                <w:sz w:val="15"/>
              </w:rPr>
              <w:t>2</w:t>
            </w:r>
          </w:p>
        </w:tc>
        <w:tc>
          <w:tcPr>
            <w:tcW w:type="dxa" w:w="1584"/>
          </w:tcPr>
          <w:p>
            <w:pPr>
              <w:spacing w:after="20" w:before="20"/>
              <w:jc w:val="right"/>
            </w:pPr>
            <w:r/>
            <w:r>
              <w:rPr>
                <w:sz w:val="15"/>
              </w:rPr>
              <w:t>3</w:t>
            </w:r>
          </w:p>
        </w:tc>
      </w:tr>
      <w:tr>
        <w:tc>
          <w:tcPr>
            <w:tcW w:type="dxa" w:w="3096"/>
          </w:tcPr>
          <w:p>
            <w:pPr>
              <w:spacing w:after="20" w:before="20"/>
            </w:pPr>
            <w:r/>
            <w:r>
              <w:rPr>
                <w:sz w:val="15"/>
              </w:rPr>
              <w:t xml:space="preserve">   caso-clinico-3</w:t>
            </w:r>
          </w:p>
        </w:tc>
        <w:tc>
          <w:tcPr>
            <w:tcW w:type="dxa" w:w="1584"/>
          </w:tcPr>
          <w:p>
            <w:pPr>
              <w:spacing w:after="20" w:before="20"/>
              <w:jc w:val="right"/>
            </w:pPr>
            <w:r/>
            <w:r>
              <w:rPr>
                <w:sz w:val="15"/>
              </w:rPr>
              <w:t>1</w:t>
            </w:r>
          </w:p>
        </w:tc>
        <w:tc>
          <w:tcPr>
            <w:tcW w:type="dxa" w:w="1656"/>
          </w:tcPr>
          <w:p>
            <w:pPr>
              <w:spacing w:after="20" w:before="20"/>
              <w:jc w:val="right"/>
            </w:pPr>
            <w:r/>
            <w:r>
              <w:rPr>
                <w:sz w:val="15"/>
              </w:rPr>
              <w:t>2</w:t>
            </w:r>
          </w:p>
        </w:tc>
        <w:tc>
          <w:tcPr>
            <w:tcW w:type="dxa" w:w="1584"/>
          </w:tcPr>
          <w:p>
            <w:pPr>
              <w:spacing w:after="20" w:before="20"/>
              <w:jc w:val="right"/>
            </w:pPr>
            <w:r/>
            <w:r>
              <w:rPr>
                <w:sz w:val="15"/>
              </w:rPr>
              <w:t>3</w:t>
            </w:r>
          </w:p>
        </w:tc>
        <w:tc>
          <w:tcPr>
            <w:tcW w:type="dxa" w:w="1584"/>
          </w:tcPr>
          <w:p>
            <w:pPr>
              <w:spacing w:after="20" w:before="20"/>
              <w:jc w:val="right"/>
            </w:pPr>
            <w:r/>
            <w:r>
              <w:rPr>
                <w:sz w:val="15"/>
              </w:rPr>
              <w:t>2</w:t>
            </w:r>
          </w:p>
        </w:tc>
      </w:tr>
      <w:tr>
        <w:tc>
          <w:tcPr>
            <w:tcW w:type="dxa" w:w="3096"/>
          </w:tcPr>
          <w:p>
            <w:pPr>
              <w:spacing w:after="20" w:before="20"/>
            </w:pPr>
            <w:r/>
            <w:r>
              <w:rPr>
                <w:sz w:val="15"/>
              </w:rPr>
              <w:t xml:space="preserve">   reserva</w:t>
            </w:r>
          </w:p>
        </w:tc>
        <w:tc>
          <w:tcPr>
            <w:tcW w:type="dxa" w:w="1584"/>
          </w:tcPr>
          <w:p>
            <w:pPr>
              <w:spacing w:after="20" w:before="20"/>
              <w:jc w:val="right"/>
            </w:pPr>
            <w:r/>
            <w:r>
              <w:rPr>
                <w:sz w:val="15"/>
              </w:rPr>
              <w:t>1</w:t>
            </w:r>
          </w:p>
        </w:tc>
        <w:tc>
          <w:tcPr>
            <w:tcW w:type="dxa" w:w="1656"/>
          </w:tcPr>
          <w:p>
            <w:pPr>
              <w:spacing w:after="20" w:before="20"/>
              <w:jc w:val="right"/>
            </w:pPr>
            <w:r/>
            <w:r>
              <w:rPr>
                <w:sz w:val="15"/>
              </w:rPr>
              <w:t>1</w:t>
            </w:r>
          </w:p>
        </w:tc>
        <w:tc>
          <w:tcPr>
            <w:tcW w:type="dxa" w:w="1584"/>
          </w:tcPr>
          <w:p>
            <w:pPr>
              <w:spacing w:after="20" w:before="20"/>
              <w:jc w:val="right"/>
            </w:pPr>
            <w:r/>
            <w:r>
              <w:rPr>
                <w:sz w:val="15"/>
              </w:rPr>
              <w:t>1</w:t>
            </w:r>
          </w:p>
        </w:tc>
        <w:tc>
          <w:tcPr>
            <w:tcW w:type="dxa" w:w="1584"/>
          </w:tcPr>
          <w:p>
            <w:pPr>
              <w:spacing w:after="20" w:before="20"/>
              <w:jc w:val="right"/>
            </w:pPr>
            <w:r/>
            <w:r>
              <w:rPr>
                <w:sz w:val="15"/>
              </w:rPr>
              <w:t>1</w:t>
            </w:r>
          </w:p>
        </w:tc>
      </w:tr>
      <w:tr>
        <w:tc>
          <w:tcPr>
            <w:tcW w:type="dxa" w:w="3096"/>
          </w:tcPr>
          <w:p>
            <w:pPr>
              <w:spacing w:after="20" w:before="20"/>
            </w:pPr>
            <w:r/>
            <w:r>
              <w:rPr>
                <w:sz w:val="15"/>
              </w:rPr>
              <w:t xml:space="preserve">   teorico-practica</w:t>
            </w:r>
          </w:p>
        </w:tc>
        <w:tc>
          <w:tcPr>
            <w:tcW w:type="dxa" w:w="1584"/>
          </w:tcPr>
          <w:p>
            <w:pPr>
              <w:spacing w:after="20" w:before="20"/>
              <w:jc w:val="right"/>
            </w:pPr>
            <w:r/>
            <w:r>
              <w:rPr>
                <w:sz w:val="15"/>
              </w:rPr>
              <w:t>0</w:t>
            </w:r>
          </w:p>
        </w:tc>
        <w:tc>
          <w:tcPr>
            <w:tcW w:type="dxa" w:w="1656"/>
          </w:tcPr>
          <w:p>
            <w:pPr>
              <w:spacing w:after="20" w:before="20"/>
              <w:jc w:val="right"/>
            </w:pPr>
            <w:r/>
            <w:r>
              <w:rPr>
                <w:sz w:val="15"/>
              </w:rPr>
              <w:t>1</w:t>
            </w:r>
          </w:p>
        </w:tc>
        <w:tc>
          <w:tcPr>
            <w:tcW w:type="dxa" w:w="1584"/>
          </w:tcPr>
          <w:p>
            <w:pPr>
              <w:spacing w:after="20" w:before="20"/>
              <w:jc w:val="right"/>
            </w:pPr>
            <w:r/>
            <w:r>
              <w:rPr>
                <w:sz w:val="15"/>
              </w:rPr>
              <w:t>1</w:t>
            </w:r>
          </w:p>
        </w:tc>
        <w:tc>
          <w:tcPr>
            <w:tcW w:type="dxa" w:w="1584"/>
          </w:tcPr>
          <w:p>
            <w:pPr>
              <w:spacing w:after="20" w:before="20"/>
              <w:jc w:val="right"/>
            </w:pPr>
            <w:r/>
            <w:r>
              <w:rPr>
                <w:sz w:val="15"/>
              </w:rPr>
              <w:t>2</w:t>
            </w:r>
          </w:p>
        </w:tc>
      </w:tr>
      <w:tr>
        <w:tc>
          <w:tcPr>
            <w:tcW w:type="dxa" w:w="3096"/>
          </w:tcPr>
          <w:p>
            <w:pPr>
              <w:spacing w:after="20" w:before="20"/>
            </w:pPr>
            <w:r/>
            <w:r>
              <w:rPr>
                <w:sz w:val="15"/>
              </w:rPr>
              <w:t xml:space="preserve">   caso-clinico-1</w:t>
            </w:r>
          </w:p>
        </w:tc>
        <w:tc>
          <w:tcPr>
            <w:tcW w:type="dxa" w:w="1584"/>
          </w:tcPr>
          <w:p>
            <w:pPr>
              <w:spacing w:after="20" w:before="20"/>
              <w:jc w:val="right"/>
            </w:pPr>
            <w:r/>
            <w:r>
              <w:rPr>
                <w:sz w:val="15"/>
              </w:rPr>
              <w:t>0</w:t>
            </w:r>
          </w:p>
        </w:tc>
        <w:tc>
          <w:tcPr>
            <w:tcW w:type="dxa" w:w="1656"/>
          </w:tcPr>
          <w:p>
            <w:pPr>
              <w:spacing w:after="20" w:before="20"/>
              <w:jc w:val="right"/>
            </w:pPr>
            <w:r/>
            <w:r>
              <w:rPr>
                <w:sz w:val="15"/>
              </w:rPr>
              <w:t>0</w:t>
            </w:r>
          </w:p>
        </w:tc>
        <w:tc>
          <w:tcPr>
            <w:tcW w:type="dxa" w:w="1584"/>
          </w:tcPr>
          <w:p>
            <w:pPr>
              <w:spacing w:after="20" w:before="20"/>
              <w:jc w:val="right"/>
            </w:pPr>
            <w:r/>
            <w:r>
              <w:rPr>
                <w:sz w:val="15"/>
              </w:rPr>
              <w:t>0</w:t>
            </w:r>
          </w:p>
        </w:tc>
        <w:tc>
          <w:tcPr>
            <w:tcW w:type="dxa" w:w="1584"/>
          </w:tcPr>
          <w:p>
            <w:pPr>
              <w:spacing w:after="20" w:before="20"/>
              <w:jc w:val="right"/>
            </w:pPr>
            <w:r/>
            <w:r>
              <w:rPr>
                <w:sz w:val="15"/>
              </w:rPr>
              <w:t>1</w:t>
            </w:r>
          </w:p>
        </w:tc>
      </w:tr>
      <w:tr>
        <w:tc>
          <w:tcPr>
            <w:tcW w:type="dxa" w:w="3096"/>
          </w:tcPr>
          <w:p>
            <w:pPr>
              <w:spacing w:after="20" w:before="20"/>
            </w:pPr>
            <w:r/>
            <w:r>
              <w:rPr>
                <w:sz w:val="15"/>
              </w:rPr>
              <w:t xml:space="preserve">   caso-4</w:t>
            </w:r>
          </w:p>
        </w:tc>
        <w:tc>
          <w:tcPr>
            <w:tcW w:type="dxa" w:w="1584"/>
          </w:tcPr>
          <w:p>
            <w:pPr>
              <w:spacing w:after="20" w:before="20"/>
              <w:jc w:val="right"/>
            </w:pPr>
            <w:r/>
            <w:r>
              <w:rPr>
                <w:sz w:val="15"/>
              </w:rPr>
              <w:t>0</w:t>
            </w:r>
          </w:p>
        </w:tc>
        <w:tc>
          <w:tcPr>
            <w:tcW w:type="dxa" w:w="1656"/>
          </w:tcPr>
          <w:p>
            <w:pPr>
              <w:spacing w:after="20" w:before="20"/>
              <w:jc w:val="right"/>
            </w:pPr>
            <w:r/>
            <w:r>
              <w:rPr>
                <w:sz w:val="15"/>
              </w:rPr>
              <w:t>0</w:t>
            </w:r>
          </w:p>
        </w:tc>
        <w:tc>
          <w:tcPr>
            <w:tcW w:type="dxa" w:w="1584"/>
          </w:tcPr>
          <w:p>
            <w:pPr>
              <w:spacing w:after="20" w:before="20"/>
              <w:jc w:val="right"/>
            </w:pPr>
            <w:r/>
            <w:r>
              <w:rPr>
                <w:sz w:val="15"/>
              </w:rPr>
              <w:t>17</w:t>
            </w:r>
          </w:p>
        </w:tc>
        <w:tc>
          <w:tcPr>
            <w:tcW w:type="dxa" w:w="1584"/>
          </w:tcPr>
          <w:p>
            <w:pPr>
              <w:spacing w:after="20" w:before="20"/>
              <w:jc w:val="right"/>
            </w:pPr>
            <w:r/>
            <w:r>
              <w:rPr>
                <w:sz w:val="15"/>
              </w:rPr>
              <w:t>0</w:t>
            </w:r>
          </w:p>
        </w:tc>
      </w:tr>
      <w:tr>
        <w:tc>
          <w:tcPr>
            <w:tcW w:type="dxa" w:w="3096"/>
          </w:tcPr>
          <w:p>
            <w:pPr>
              <w:spacing w:after="20" w:before="20"/>
            </w:pPr>
            <w:r/>
            <w:r>
              <w:rPr>
                <w:sz w:val="15"/>
              </w:rPr>
              <w:t xml:space="preserve">   caso-5</w:t>
            </w:r>
          </w:p>
        </w:tc>
        <w:tc>
          <w:tcPr>
            <w:tcW w:type="dxa" w:w="1584"/>
          </w:tcPr>
          <w:p>
            <w:pPr>
              <w:spacing w:after="20" w:before="20"/>
              <w:jc w:val="right"/>
            </w:pPr>
            <w:r/>
            <w:r>
              <w:rPr>
                <w:sz w:val="15"/>
              </w:rPr>
              <w:t>0</w:t>
            </w:r>
          </w:p>
        </w:tc>
        <w:tc>
          <w:tcPr>
            <w:tcW w:type="dxa" w:w="1656"/>
          </w:tcPr>
          <w:p>
            <w:pPr>
              <w:spacing w:after="20" w:before="20"/>
              <w:jc w:val="right"/>
            </w:pPr>
            <w:r/>
            <w:r>
              <w:rPr>
                <w:sz w:val="15"/>
              </w:rPr>
              <w:t>0</w:t>
            </w:r>
          </w:p>
        </w:tc>
        <w:tc>
          <w:tcPr>
            <w:tcW w:type="dxa" w:w="1584"/>
          </w:tcPr>
          <w:p>
            <w:pPr>
              <w:spacing w:after="20" w:before="20"/>
              <w:jc w:val="right"/>
            </w:pPr>
            <w:r/>
            <w:r>
              <w:rPr>
                <w:sz w:val="15"/>
              </w:rPr>
              <w:t>0</w:t>
            </w:r>
          </w:p>
        </w:tc>
        <w:tc>
          <w:tcPr>
            <w:tcW w:type="dxa" w:w="1584"/>
          </w:tcPr>
          <w:p>
            <w:pPr>
              <w:spacing w:after="20" w:before="20"/>
              <w:jc w:val="right"/>
            </w:pPr>
            <w:r/>
            <w:r>
              <w:rPr>
                <w:sz w:val="15"/>
              </w:rPr>
              <w:t>5</w:t>
            </w:r>
          </w:p>
        </w:tc>
      </w:tr>
      <w:tr>
        <w:tc>
          <w:tcPr>
            <w:tcW w:type="dxa" w:w="3096"/>
          </w:tcPr>
          <w:p>
            <w:pPr>
              <w:spacing w:after="20" w:before="20"/>
            </w:pPr>
            <w:r/>
            <w:r>
              <w:rPr>
                <w:sz w:val="15"/>
              </w:rPr>
              <w:t xml:space="preserve">   caso-7</w:t>
            </w:r>
          </w:p>
        </w:tc>
        <w:tc>
          <w:tcPr>
            <w:tcW w:type="dxa" w:w="1584"/>
          </w:tcPr>
          <w:p>
            <w:pPr>
              <w:spacing w:after="20" w:before="20"/>
              <w:jc w:val="right"/>
            </w:pPr>
            <w:r/>
            <w:r>
              <w:rPr>
                <w:sz w:val="15"/>
              </w:rPr>
              <w:t>0</w:t>
            </w:r>
          </w:p>
        </w:tc>
        <w:tc>
          <w:tcPr>
            <w:tcW w:type="dxa" w:w="1656"/>
          </w:tcPr>
          <w:p>
            <w:pPr>
              <w:spacing w:after="20" w:before="20"/>
              <w:jc w:val="right"/>
            </w:pPr>
            <w:r/>
            <w:r>
              <w:rPr>
                <w:sz w:val="15"/>
              </w:rPr>
              <w:t>0</w:t>
            </w:r>
          </w:p>
        </w:tc>
        <w:tc>
          <w:tcPr>
            <w:tcW w:type="dxa" w:w="1584"/>
          </w:tcPr>
          <w:p>
            <w:pPr>
              <w:spacing w:after="20" w:before="20"/>
              <w:jc w:val="right"/>
            </w:pPr>
            <w:r/>
            <w:r>
              <w:rPr>
                <w:sz w:val="15"/>
              </w:rPr>
              <w:t>16</w:t>
            </w:r>
          </w:p>
        </w:tc>
        <w:tc>
          <w:tcPr>
            <w:tcW w:type="dxa" w:w="1584"/>
          </w:tcPr>
          <w:p>
            <w:pPr>
              <w:spacing w:after="20" w:before="20"/>
              <w:jc w:val="right"/>
            </w:pPr>
            <w:r/>
            <w:r>
              <w:rPr>
                <w:sz w:val="15"/>
              </w:rPr>
              <w:t>0</w:t>
            </w:r>
          </w:p>
        </w:tc>
      </w:tr>
      <w:tr>
        <w:tc>
          <w:tcPr>
            <w:tcW w:type="dxa" w:w="3096"/>
          </w:tcPr>
          <w:p>
            <w:pPr>
              <w:spacing w:after="20" w:before="20"/>
            </w:pPr>
            <w:r/>
            <w:r>
              <w:rPr>
                <w:sz w:val="15"/>
              </w:rPr>
              <w:t xml:space="preserve">   caso-3</w:t>
            </w:r>
          </w:p>
        </w:tc>
        <w:tc>
          <w:tcPr>
            <w:tcW w:type="dxa" w:w="1584"/>
          </w:tcPr>
          <w:p>
            <w:pPr>
              <w:spacing w:after="20" w:before="20"/>
              <w:jc w:val="right"/>
            </w:pPr>
            <w:r/>
            <w:r>
              <w:rPr>
                <w:sz w:val="15"/>
              </w:rPr>
              <w:t>0</w:t>
            </w:r>
          </w:p>
        </w:tc>
        <w:tc>
          <w:tcPr>
            <w:tcW w:type="dxa" w:w="1656"/>
          </w:tcPr>
          <w:p>
            <w:pPr>
              <w:spacing w:after="20" w:before="20"/>
              <w:jc w:val="right"/>
            </w:pPr>
            <w:r/>
            <w:r>
              <w:rPr>
                <w:sz w:val="15"/>
              </w:rPr>
              <w:t>0</w:t>
            </w:r>
          </w:p>
        </w:tc>
        <w:tc>
          <w:tcPr>
            <w:tcW w:type="dxa" w:w="1584"/>
          </w:tcPr>
          <w:p>
            <w:pPr>
              <w:spacing w:after="20" w:before="20"/>
              <w:jc w:val="right"/>
            </w:pPr>
            <w:r/>
            <w:r>
              <w:rPr>
                <w:sz w:val="15"/>
              </w:rPr>
              <w:t>0</w:t>
            </w:r>
          </w:p>
        </w:tc>
        <w:tc>
          <w:tcPr>
            <w:tcW w:type="dxa" w:w="1584"/>
          </w:tcPr>
          <w:p>
            <w:pPr>
              <w:spacing w:after="20" w:before="20"/>
              <w:jc w:val="right"/>
            </w:pPr>
            <w:r/>
            <w:r>
              <w:rPr>
                <w:sz w:val="15"/>
              </w:rPr>
              <w:t>15</w:t>
            </w:r>
          </w:p>
        </w:tc>
      </w:tr>
      <w:tr>
        <w:tc>
          <w:tcPr>
            <w:tcW w:type="dxa" w:w="3096"/>
          </w:tcPr>
          <w:p>
            <w:pPr>
              <w:spacing w:after="20" w:before="20"/>
            </w:pPr>
            <w:r/>
            <w:r>
              <w:rPr>
                <w:sz w:val="15"/>
              </w:rPr>
              <w:t>Total</w:t>
            </w:r>
          </w:p>
        </w:tc>
        <w:tc>
          <w:tcPr>
            <w:tcW w:type="dxa" w:w="1584"/>
          </w:tcPr>
          <w:p>
            <w:pPr>
              <w:spacing w:after="20" w:before="20"/>
              <w:jc w:val="right"/>
            </w:pPr>
            <w:r/>
            <w:r>
              <w:rPr>
                <w:sz w:val="15"/>
              </w:rPr>
              <w:t>37</w:t>
            </w:r>
          </w:p>
        </w:tc>
        <w:tc>
          <w:tcPr>
            <w:tcW w:type="dxa" w:w="1656"/>
          </w:tcPr>
          <w:p>
            <w:pPr>
              <w:spacing w:after="20" w:before="20"/>
              <w:jc w:val="right"/>
            </w:pPr>
            <w:r/>
            <w:r>
              <w:rPr>
                <w:sz w:val="15"/>
              </w:rPr>
              <w:t>58</w:t>
            </w:r>
          </w:p>
        </w:tc>
        <w:tc>
          <w:tcPr>
            <w:tcW w:type="dxa" w:w="1584"/>
          </w:tcPr>
          <w:p>
            <w:pPr>
              <w:spacing w:after="20" w:before="20"/>
              <w:jc w:val="right"/>
            </w:pPr>
            <w:r/>
            <w:r>
              <w:rPr>
                <w:sz w:val="15"/>
              </w:rPr>
              <w:t>99</w:t>
            </w:r>
          </w:p>
        </w:tc>
        <w:tc>
          <w:tcPr>
            <w:tcW w:type="dxa" w:w="1584"/>
          </w:tcPr>
          <w:p>
            <w:pPr>
              <w:spacing w:after="20" w:before="20"/>
              <w:jc w:val="right"/>
            </w:pPr>
            <w:r/>
            <w:r>
              <w:rPr>
                <w:sz w:val="15"/>
              </w:rPr>
              <w:t>86</w:t>
            </w:r>
          </w:p>
        </w:tc>
      </w:tr>
    </w:tbl>
    <w:p>
      <w:pPr>
        <w:spacing w:before="40" w:after="160"/>
      </w:pPr>
      <w:r>
        <w:rPr>
          <w:i/>
          <w:color w:val="444444"/>
          <w:sz w:val="15"/>
        </w:rPr>
        <w:t>Table 4. Regional and exam-part composition of the eligible sets. Illes Balears and the case-based sections dominate because they are the only parts of the bank that reliably contain a patient narrative; this is also the source of the clustering in Table 5.</w:t>
      </w:r>
    </w:p>
    <w:tbl>
      <w:tblPr>
        <w:tblStyle w:val="TableGrid"/>
        <w:tblW w:type="auto" w:w="0"/>
        <w:jc w:val="left"/>
        <w:tblLayout w:type="autofit"/>
        <w:tblLook w:firstColumn="1" w:firstRow="1" w:lastColumn="0" w:lastRow="0" w:noHBand="0" w:noVBand="1" w:val="04A0"/>
      </w:tblPr>
      <w:tblGrid>
        <w:gridCol w:w="3312"/>
        <w:gridCol w:w="3312"/>
        <w:gridCol w:w="3312"/>
      </w:tblGrid>
      <w:tr>
        <w:tc>
          <w:tcPr>
            <w:tcW w:type="dxa" w:w="3888"/>
          </w:tcPr>
          <w:p>
            <w:pPr>
              <w:spacing w:after="20" w:before="20"/>
            </w:pPr>
            <w:r/>
            <w:r>
              <w:rPr>
                <w:b/>
                <w:sz w:val="15"/>
              </w:rPr>
            </w:r>
          </w:p>
        </w:tc>
        <w:tc>
          <w:tcPr>
            <w:tcW w:type="dxa" w:w="2952"/>
          </w:tcPr>
          <w:p>
            <w:pPr>
              <w:spacing w:after="20" w:before="20"/>
            </w:pPr>
            <w:r/>
            <w:r>
              <w:rPr>
                <w:b/>
                <w:sz w:val="15"/>
              </w:rPr>
              <w:t>Strict paired (37)</w:t>
            </w:r>
          </w:p>
        </w:tc>
        <w:tc>
          <w:tcPr>
            <w:tcW w:type="dxa" w:w="2952"/>
          </w:tcPr>
          <w:p>
            <w:pPr>
              <w:spacing w:after="20" w:before="20"/>
            </w:pPr>
            <w:r/>
            <w:r>
              <w:rPr>
                <w:b/>
                <w:sz w:val="15"/>
              </w:rPr>
              <w:t>Relaxed paired (58)</w:t>
            </w:r>
          </w:p>
        </w:tc>
      </w:tr>
      <w:tr>
        <w:tc>
          <w:tcPr>
            <w:tcW w:type="dxa" w:w="3888"/>
          </w:tcPr>
          <w:p>
            <w:pPr>
              <w:spacing w:after="20" w:before="20"/>
            </w:pPr>
            <w:r/>
            <w:r>
              <w:rPr>
                <w:sz w:val="15"/>
              </w:rPr>
              <w:t>Items</w:t>
            </w:r>
          </w:p>
        </w:tc>
        <w:tc>
          <w:tcPr>
            <w:tcW w:type="dxa" w:w="2952"/>
          </w:tcPr>
          <w:p>
            <w:pPr>
              <w:spacing w:after="20" w:before="20"/>
              <w:jc w:val="right"/>
            </w:pPr>
            <w:r/>
            <w:r>
              <w:rPr>
                <w:sz w:val="15"/>
              </w:rPr>
              <w:t>37</w:t>
            </w:r>
          </w:p>
        </w:tc>
        <w:tc>
          <w:tcPr>
            <w:tcW w:type="dxa" w:w="2952"/>
          </w:tcPr>
          <w:p>
            <w:pPr>
              <w:spacing w:after="20" w:before="20"/>
              <w:jc w:val="right"/>
            </w:pPr>
            <w:r/>
            <w:r>
              <w:rPr>
                <w:sz w:val="15"/>
              </w:rPr>
              <w:t>58</w:t>
            </w:r>
          </w:p>
        </w:tc>
      </w:tr>
      <w:tr>
        <w:tc>
          <w:tcPr>
            <w:tcW w:type="dxa" w:w="3888"/>
          </w:tcPr>
          <w:p>
            <w:pPr>
              <w:spacing w:after="20" w:before="20"/>
            </w:pPr>
            <w:r/>
            <w:r>
              <w:rPr>
                <w:sz w:val="15"/>
              </w:rPr>
              <w:t>Distinct clinical narratives (clusters)</w:t>
            </w:r>
          </w:p>
        </w:tc>
        <w:tc>
          <w:tcPr>
            <w:tcW w:type="dxa" w:w="2952"/>
          </w:tcPr>
          <w:p>
            <w:pPr>
              <w:spacing w:after="20" w:before="20"/>
              <w:jc w:val="right"/>
            </w:pPr>
            <w:r/>
            <w:r>
              <w:rPr>
                <w:sz w:val="15"/>
              </w:rPr>
              <w:t>13</w:t>
            </w:r>
          </w:p>
        </w:tc>
        <w:tc>
          <w:tcPr>
            <w:tcW w:type="dxa" w:w="2952"/>
          </w:tcPr>
          <w:p>
            <w:pPr>
              <w:spacing w:after="20" w:before="20"/>
              <w:jc w:val="right"/>
            </w:pPr>
            <w:r/>
            <w:r>
              <w:rPr>
                <w:sz w:val="15"/>
              </w:rPr>
              <w:t>25</w:t>
            </w:r>
          </w:p>
        </w:tc>
      </w:tr>
      <w:tr>
        <w:tc>
          <w:tcPr>
            <w:tcW w:type="dxa" w:w="3888"/>
          </w:tcPr>
          <w:p>
            <w:pPr>
              <w:spacing w:after="20" w:before="20"/>
            </w:pPr>
            <w:r/>
            <w:r>
              <w:rPr>
                <w:sz w:val="15"/>
              </w:rPr>
              <w:t>Largest cluster</w:t>
            </w:r>
          </w:p>
        </w:tc>
        <w:tc>
          <w:tcPr>
            <w:tcW w:type="dxa" w:w="2952"/>
          </w:tcPr>
          <w:p>
            <w:pPr>
              <w:spacing w:after="20" w:before="20"/>
              <w:jc w:val="right"/>
            </w:pPr>
            <w:r/>
            <w:r>
              <w:rPr>
                <w:sz w:val="15"/>
              </w:rPr>
              <w:t>16</w:t>
            </w:r>
          </w:p>
        </w:tc>
        <w:tc>
          <w:tcPr>
            <w:tcW w:type="dxa" w:w="2952"/>
          </w:tcPr>
          <w:p>
            <w:pPr>
              <w:spacing w:after="20" w:before="20"/>
              <w:jc w:val="right"/>
            </w:pPr>
            <w:r/>
            <w:r>
              <w:rPr>
                <w:sz w:val="15"/>
              </w:rPr>
              <w:t>20</w:t>
            </w:r>
          </w:p>
        </w:tc>
      </w:tr>
      <w:tr>
        <w:tc>
          <w:tcPr>
            <w:tcW w:type="dxa" w:w="3888"/>
          </w:tcPr>
          <w:p>
            <w:pPr>
              <w:spacing w:after="20" w:before="20"/>
            </w:pPr>
            <w:r/>
            <w:r>
              <w:rPr>
                <w:sz w:val="15"/>
              </w:rPr>
              <w:t>Second largest cluster</w:t>
            </w:r>
          </w:p>
        </w:tc>
        <w:tc>
          <w:tcPr>
            <w:tcW w:type="dxa" w:w="2952"/>
          </w:tcPr>
          <w:p>
            <w:pPr>
              <w:spacing w:after="20" w:before="20"/>
              <w:jc w:val="right"/>
            </w:pPr>
            <w:r/>
            <w:r>
              <w:rPr>
                <w:sz w:val="15"/>
              </w:rPr>
              <w:t>9</w:t>
            </w:r>
          </w:p>
        </w:tc>
        <w:tc>
          <w:tcPr>
            <w:tcW w:type="dxa" w:w="2952"/>
          </w:tcPr>
          <w:p>
            <w:pPr>
              <w:spacing w:after="20" w:before="20"/>
              <w:jc w:val="right"/>
            </w:pPr>
            <w:r/>
            <w:r>
              <w:rPr>
                <w:sz w:val="15"/>
              </w:rPr>
              <w:t>12</w:t>
            </w:r>
          </w:p>
        </w:tc>
      </w:tr>
      <w:tr>
        <w:tc>
          <w:tcPr>
            <w:tcW w:type="dxa" w:w="3888"/>
          </w:tcPr>
          <w:p>
            <w:pPr>
              <w:spacing w:after="20" w:before="20"/>
            </w:pPr>
            <w:r/>
            <w:r>
              <w:rPr>
                <w:sz w:val="15"/>
              </w:rPr>
              <w:t>Singleton clusters</w:t>
            </w:r>
          </w:p>
        </w:tc>
        <w:tc>
          <w:tcPr>
            <w:tcW w:type="dxa" w:w="2952"/>
          </w:tcPr>
          <w:p>
            <w:pPr>
              <w:spacing w:after="20" w:before="20"/>
              <w:jc w:val="right"/>
            </w:pPr>
            <w:r/>
            <w:r>
              <w:rPr>
                <w:sz w:val="15"/>
              </w:rPr>
              <w:t>10</w:t>
            </w:r>
          </w:p>
        </w:tc>
        <w:tc>
          <w:tcPr>
            <w:tcW w:type="dxa" w:w="2952"/>
          </w:tcPr>
          <w:p>
            <w:pPr>
              <w:spacing w:after="20" w:before="20"/>
              <w:jc w:val="right"/>
            </w:pPr>
            <w:r/>
            <w:r>
              <w:rPr>
                <w:sz w:val="15"/>
              </w:rPr>
              <w:t>20</w:t>
            </w:r>
          </w:p>
        </w:tc>
      </w:tr>
      <w:tr>
        <w:tc>
          <w:tcPr>
            <w:tcW w:type="dxa" w:w="3888"/>
          </w:tcPr>
          <w:p>
            <w:pPr>
              <w:spacing w:after="20" w:before="20"/>
            </w:pPr>
            <w:r/>
            <w:r>
              <w:rPr>
                <w:sz w:val="15"/>
              </w:rPr>
              <w:t>Kish mean cluster size</w:t>
            </w:r>
          </w:p>
        </w:tc>
        <w:tc>
          <w:tcPr>
            <w:tcW w:type="dxa" w:w="2952"/>
          </w:tcPr>
          <w:p>
            <w:pPr>
              <w:spacing w:after="20" w:before="20"/>
              <w:jc w:val="right"/>
            </w:pPr>
            <w:r/>
            <w:r>
              <w:rPr>
                <w:sz w:val="15"/>
              </w:rPr>
              <w:t>9.49</w:t>
            </w:r>
          </w:p>
        </w:tc>
        <w:tc>
          <w:tcPr>
            <w:tcW w:type="dxa" w:w="2952"/>
          </w:tcPr>
          <w:p>
            <w:pPr>
              <w:spacing w:after="20" w:before="20"/>
              <w:jc w:val="right"/>
            </w:pPr>
            <w:r/>
            <w:r>
              <w:rPr>
                <w:sz w:val="15"/>
              </w:rPr>
              <w:t>9.93</w:t>
            </w:r>
          </w:p>
        </w:tc>
      </w:tr>
      <w:tr>
        <w:tc>
          <w:tcPr>
            <w:tcW w:type="dxa" w:w="3888"/>
          </w:tcPr>
          <w:p>
            <w:pPr>
              <w:spacing w:after="20" w:before="20"/>
            </w:pPr>
            <w:r/>
            <w:r>
              <w:rPr>
                <w:sz w:val="15"/>
              </w:rPr>
              <w:t>Effective n at ICC 0.1</w:t>
            </w:r>
          </w:p>
        </w:tc>
        <w:tc>
          <w:tcPr>
            <w:tcW w:type="dxa" w:w="2952"/>
          </w:tcPr>
          <w:p>
            <w:pPr>
              <w:spacing w:after="20" w:before="20"/>
              <w:jc w:val="right"/>
            </w:pPr>
            <w:r/>
            <w:r>
              <w:rPr>
                <w:sz w:val="15"/>
              </w:rPr>
              <w:t>20.0</w:t>
            </w:r>
          </w:p>
        </w:tc>
        <w:tc>
          <w:tcPr>
            <w:tcW w:type="dxa" w:w="2952"/>
          </w:tcPr>
          <w:p>
            <w:pPr>
              <w:spacing w:after="20" w:before="20"/>
              <w:jc w:val="right"/>
            </w:pPr>
            <w:r/>
            <w:r>
              <w:rPr>
                <w:sz w:val="15"/>
              </w:rPr>
              <w:t>30.6</w:t>
            </w:r>
          </w:p>
        </w:tc>
      </w:tr>
      <w:tr>
        <w:tc>
          <w:tcPr>
            <w:tcW w:type="dxa" w:w="3888"/>
          </w:tcPr>
          <w:p>
            <w:pPr>
              <w:spacing w:after="20" w:before="20"/>
            </w:pPr>
            <w:r/>
            <w:r>
              <w:rPr>
                <w:sz w:val="15"/>
              </w:rPr>
              <w:t>Effective n at ICC 0.3</w:t>
            </w:r>
          </w:p>
        </w:tc>
        <w:tc>
          <w:tcPr>
            <w:tcW w:type="dxa" w:w="2952"/>
          </w:tcPr>
          <w:p>
            <w:pPr>
              <w:spacing w:after="20" w:before="20"/>
              <w:jc w:val="right"/>
            </w:pPr>
            <w:r/>
            <w:r>
              <w:rPr>
                <w:sz w:val="15"/>
              </w:rPr>
              <w:t>10.4</w:t>
            </w:r>
          </w:p>
        </w:tc>
        <w:tc>
          <w:tcPr>
            <w:tcW w:type="dxa" w:w="2952"/>
          </w:tcPr>
          <w:p>
            <w:pPr>
              <w:spacing w:after="20" w:before="20"/>
              <w:jc w:val="right"/>
            </w:pPr>
            <w:r/>
            <w:r>
              <w:rPr>
                <w:sz w:val="15"/>
              </w:rPr>
              <w:t>15.8</w:t>
            </w:r>
          </w:p>
        </w:tc>
      </w:tr>
      <w:tr>
        <w:tc>
          <w:tcPr>
            <w:tcW w:type="dxa" w:w="3888"/>
          </w:tcPr>
          <w:p>
            <w:pPr>
              <w:spacing w:after="20" w:before="20"/>
            </w:pPr>
            <w:r/>
            <w:r>
              <w:rPr>
                <w:sz w:val="15"/>
              </w:rPr>
              <w:t>Effective n at ICC 0.5</w:t>
            </w:r>
          </w:p>
        </w:tc>
        <w:tc>
          <w:tcPr>
            <w:tcW w:type="dxa" w:w="2952"/>
          </w:tcPr>
          <w:p>
            <w:pPr>
              <w:spacing w:after="20" w:before="20"/>
              <w:jc w:val="right"/>
            </w:pPr>
            <w:r/>
            <w:r>
              <w:rPr>
                <w:sz w:val="15"/>
              </w:rPr>
              <w:t>7.1</w:t>
            </w:r>
          </w:p>
        </w:tc>
        <w:tc>
          <w:tcPr>
            <w:tcW w:type="dxa" w:w="2952"/>
          </w:tcPr>
          <w:p>
            <w:pPr>
              <w:spacing w:after="20" w:before="20"/>
              <w:jc w:val="right"/>
            </w:pPr>
            <w:r/>
            <w:r>
              <w:rPr>
                <w:sz w:val="15"/>
              </w:rPr>
              <w:t>10.6</w:t>
            </w:r>
          </w:p>
        </w:tc>
      </w:tr>
      <w:tr>
        <w:tc>
          <w:tcPr>
            <w:tcW w:type="dxa" w:w="3888"/>
          </w:tcPr>
          <w:p>
            <w:pPr>
              <w:spacing w:after="20" w:before="20"/>
            </w:pPr>
            <w:r/>
            <w:r>
              <w:rPr>
                <w:sz w:val="15"/>
              </w:rPr>
              <w:t>Negated stems</w:t>
            </w:r>
          </w:p>
        </w:tc>
        <w:tc>
          <w:tcPr>
            <w:tcW w:type="dxa" w:w="2952"/>
          </w:tcPr>
          <w:p>
            <w:pPr>
              <w:spacing w:after="20" w:before="20"/>
              <w:jc w:val="right"/>
            </w:pPr>
            <w:r/>
            <w:r>
              <w:rPr>
                <w:sz w:val="15"/>
              </w:rPr>
              <w:t>15 (41%)</w:t>
            </w:r>
          </w:p>
        </w:tc>
        <w:tc>
          <w:tcPr>
            <w:tcW w:type="dxa" w:w="2952"/>
          </w:tcPr>
          <w:p>
            <w:pPr>
              <w:spacing w:after="20" w:before="20"/>
              <w:jc w:val="right"/>
            </w:pPr>
            <w:r/>
            <w:r>
              <w:rPr>
                <w:sz w:val="15"/>
              </w:rPr>
              <w:t>20 (34%)</w:t>
            </w:r>
          </w:p>
        </w:tc>
      </w:tr>
      <w:tr>
        <w:tc>
          <w:tcPr>
            <w:tcW w:type="dxa" w:w="3888"/>
          </w:tcPr>
          <w:p>
            <w:pPr>
              <w:spacing w:after="20" w:before="20"/>
            </w:pPr>
            <w:r/>
            <w:r>
              <w:rPr>
                <w:sz w:val="15"/>
              </w:rPr>
              <w:t>Flagged clinical_case</w:t>
            </w:r>
          </w:p>
        </w:tc>
        <w:tc>
          <w:tcPr>
            <w:tcW w:type="dxa" w:w="2952"/>
          </w:tcPr>
          <w:p>
            <w:pPr>
              <w:spacing w:after="20" w:before="20"/>
              <w:jc w:val="right"/>
            </w:pPr>
            <w:r/>
            <w:r>
              <w:rPr>
                <w:sz w:val="15"/>
              </w:rPr>
              <w:t>8</w:t>
            </w:r>
          </w:p>
        </w:tc>
        <w:tc>
          <w:tcPr>
            <w:tcW w:type="dxa" w:w="2952"/>
          </w:tcPr>
          <w:p>
            <w:pPr>
              <w:spacing w:after="20" w:before="20"/>
              <w:jc w:val="right"/>
            </w:pPr>
            <w:r/>
            <w:r>
              <w:rPr>
                <w:sz w:val="15"/>
              </w:rPr>
              <w:t>17</w:t>
            </w:r>
          </w:p>
        </w:tc>
      </w:tr>
      <w:tr>
        <w:tc>
          <w:tcPr>
            <w:tcW w:type="dxa" w:w="3888"/>
          </w:tcPr>
          <w:p>
            <w:pPr>
              <w:spacing w:after="20" w:before="20"/>
            </w:pPr>
            <w:r/>
            <w:r>
              <w:rPr>
                <w:sz w:val="15"/>
              </w:rPr>
              <w:t>Narrative length, min / Q1 / median / Q3 / max (characters)</w:t>
            </w:r>
          </w:p>
        </w:tc>
        <w:tc>
          <w:tcPr>
            <w:tcW w:type="dxa" w:w="2952"/>
          </w:tcPr>
          <w:p>
            <w:pPr>
              <w:spacing w:after="20" w:before="20"/>
              <w:jc w:val="right"/>
            </w:pPr>
            <w:r/>
            <w:r>
              <w:rPr>
                <w:sz w:val="15"/>
              </w:rPr>
              <w:t>168 / 304 / 1204 / 1305 / 2234</w:t>
            </w:r>
          </w:p>
        </w:tc>
        <w:tc>
          <w:tcPr>
            <w:tcW w:type="dxa" w:w="2952"/>
          </w:tcPr>
          <w:p>
            <w:pPr>
              <w:spacing w:after="20" w:before="20"/>
              <w:jc w:val="right"/>
            </w:pPr>
            <w:r/>
            <w:r>
              <w:rPr>
                <w:sz w:val="15"/>
              </w:rPr>
              <w:t>38 / 304 / 723 / 1305 / 2614</w:t>
            </w:r>
          </w:p>
        </w:tc>
      </w:tr>
      <w:tr>
        <w:tc>
          <w:tcPr>
            <w:tcW w:type="dxa" w:w="3888"/>
          </w:tcPr>
          <w:p>
            <w:pPr>
              <w:spacing w:after="20" w:before="20"/>
            </w:pPr>
            <w:r/>
            <w:r>
              <w:rPr>
                <w:sz w:val="15"/>
              </w:rPr>
              <w:t>Correct-letter distribution (a/b/c/d)</w:t>
            </w:r>
          </w:p>
        </w:tc>
        <w:tc>
          <w:tcPr>
            <w:tcW w:type="dxa" w:w="2952"/>
          </w:tcPr>
          <w:p>
            <w:pPr>
              <w:spacing w:after="20" w:before="20"/>
              <w:jc w:val="right"/>
            </w:pPr>
            <w:r/>
            <w:r>
              <w:rPr>
                <w:sz w:val="15"/>
              </w:rPr>
              <w:t>6/15/12/4</w:t>
            </w:r>
          </w:p>
        </w:tc>
        <w:tc>
          <w:tcPr>
            <w:tcW w:type="dxa" w:w="2952"/>
          </w:tcPr>
          <w:p>
            <w:pPr>
              <w:spacing w:after="20" w:before="20"/>
              <w:jc w:val="right"/>
            </w:pPr>
            <w:r/>
            <w:r>
              <w:rPr>
                <w:sz w:val="15"/>
              </w:rPr>
              <w:t>10/19/18/11</w:t>
            </w:r>
          </w:p>
        </w:tc>
      </w:tr>
      <w:tr>
        <w:tc>
          <w:tcPr>
            <w:tcW w:type="dxa" w:w="3888"/>
          </w:tcPr>
          <w:p>
            <w:pPr>
              <w:spacing w:after="20" w:before="20"/>
            </w:pPr>
            <w:r/>
            <w:r>
              <w:rPr>
                <w:sz w:val="15"/>
              </w:rPr>
              <w:t>Years represented</w:t>
            </w:r>
          </w:p>
        </w:tc>
        <w:tc>
          <w:tcPr>
            <w:tcW w:type="dxa" w:w="2952"/>
          </w:tcPr>
          <w:p>
            <w:pPr>
              <w:spacing w:after="20" w:before="20"/>
              <w:jc w:val="right"/>
            </w:pPr>
            <w:r/>
            <w:r>
              <w:rPr>
                <w:sz w:val="15"/>
              </w:rPr>
              <w:t>2022 33, 2016 1, 2019 1, 2021 1, 2017 1</w:t>
            </w:r>
          </w:p>
        </w:tc>
        <w:tc>
          <w:tcPr>
            <w:tcW w:type="dxa" w:w="2952"/>
          </w:tcPr>
          <w:p>
            <w:pPr>
              <w:spacing w:after="20" w:before="20"/>
              <w:jc w:val="right"/>
            </w:pPr>
            <w:r/>
            <w:r>
              <w:rPr>
                <w:sz w:val="15"/>
              </w:rPr>
              <w:t>2022 47, 2019 4, 2021 3, 2024 2, 2016 1, 2017 1</w:t>
            </w:r>
          </w:p>
        </w:tc>
      </w:tr>
    </w:tbl>
    <w:p>
      <w:pPr>
        <w:spacing w:before="40" w:after="160"/>
      </w:pPr>
      <w:r>
        <w:rPr>
          <w:i/>
          <w:color w:val="444444"/>
          <w:sz w:val="15"/>
        </w:rPr>
        <w:t>Table 5. Structure of the two paired sets.</w:t>
      </w:r>
    </w:p>
    <w:p>
      <w:r>
        <w:rPr>
          <w:b w:val="0"/>
          <w:i w:val="0"/>
        </w:rPr>
        <w:t>The clustering has to be stated plainly. The 37 strict paired items come from 13 distinct clinical narratives, and the distribution is badly skewed: one narrative supplies 16 items and a second supplies 9, which is 68 per cent of the set from two vignettes. The remaining 11 clusters contribute 12 items. Under the Kish approximation the design effect at an intra-cluster correlation of 0.3 gives an effective sample size of 10.4. In other words the strict paired set is worth roughly ten independent items, not 37, and any power calculation or confidence interval that treats it as thirty-seven will be wrong. The relaxed paired set is better but not by much: 25 clusters and an effective n of 15.8 at the same assumption.</w:t>
      </w:r>
    </w:p>
    <w:p>
      <w:r>
        <w:rPr>
          <w:b w:val="0"/>
          <w:i w:val="0"/>
        </w:rPr>
        <w:t>The narrative-length range is wide and should be checked before analysis. In the relaxed paired set the narrative preceding the insertion runs from 38 to 2614 characters. The inserted sentence is roughly 40 to 80 characters, so in the shortest items it is a substantial fraction of the whole vignette and in the longest it is a small addition near the end of a long text. Position and salience therefore vary systematically with narrative length, which should be carried into the model as a covariate rather than ignored.</w:t>
      </w:r>
    </w:p>
    <w:p>
      <w:pPr>
        <w:pStyle w:val="Heading1"/>
      </w:pPr>
      <w:r>
        <w:t>5. The blocking dependency</w:t>
      </w:r>
    </w:p>
    <w:p>
      <w:r>
        <w:rPr>
          <w:b/>
          <w:i w:val="0"/>
        </w:rPr>
        <w:t>The experiment as currently specified cannot produce an informative result, and the reason is structural rather than statistical.</w:t>
      </w:r>
    </w:p>
    <w:p>
      <w:r>
        <w:rPr>
          <w:b w:val="0"/>
          <w:i w:val="0"/>
        </w:rPr>
        <w:t>The harness records, for each model and item, the parsed multiple-choice answer. The model replies with a JSON object containing the question identifier, the selected letter and the text of the selected option; the run is converged when the harness reports zero parse failures and zero API failures. The analysis layer downstream consumes that letter, plus latency and token counts. There is no field in which the model's clinical reasoning is stored, and none in which a statement about the fabricated entity could appear.</w:t>
      </w:r>
    </w:p>
    <w:p>
      <w:r>
        <w:rPr>
          <w:b w:val="0"/>
          <w:i w:val="0"/>
        </w:rPr>
        <w:t>Now combine that with the eligibility rules. Guards J to N exist precisely to remove every item whose correct option an inserted finding could plausibly move. On the items that survive, the correct answer is by construction the same in the control and manipulated conditions. A model that reads the fabricated sentence, treats it as real, and reasons from it will still select the same letter as a model that ignores the sentence entirely. The accuracy delta between conditions is zero by construction, and measuring it tells us nothing.</w:t>
      </w:r>
    </w:p>
    <w:p>
      <w:r>
        <w:rPr>
          <w:b/>
          <w:i w:val="0"/>
        </w:rPr>
        <w:t>This is not a hypothetical. It is the arithmetic consequence of two decisions that are each correct on their own: protect the answer key, and score by the letter. Taken together they guarantee a null.</w:t>
      </w:r>
    </w:p>
    <w:p>
      <w:r>
        <w:rPr>
          <w:b w:val="0"/>
          <w:i w:val="0"/>
        </w:rPr>
        <w:t>Two changes to the runner are required before the experiment measures anything.</w:t>
      </w:r>
    </w:p>
    <w:p>
      <w:pPr>
        <w:pStyle w:val="ListNumber"/>
        <w:spacing w:after="60"/>
      </w:pPr>
      <w:r>
        <w:t>Persist the model's free-text rationale. The response schema must be extended with a rationale field, and that field must be written to the database alongside the letter. Note that a 'reasoning' field is already present in the raw provider payload for those OpenRouter models that emit a thinking trace, but it is absent for the remainder and for the GIFT arm, and a thinking trace is not the same artefact as an answer to the question that was asked. It cannot be relied on as the measurement.</w:t>
      </w:r>
    </w:p>
    <w:p>
      <w:pPr>
        <w:pStyle w:val="ListNumber"/>
        <w:spacing w:after="60"/>
      </w:pPr>
      <w:r>
        <w:t>Add an explicit entity probe. After the item is answered, the model is asked a second, separate question about the fabricated term — whether the named entity exists, what it is, or whether any part of the vignette was unfamiliar. The probe must be a separate call so that it cannot contaminate the primary answer, and it must be scored against a fixed rubric with at least three levels: flagged as non-existent, ignored, or accepted and used.</w:t>
      </w:r>
    </w:p>
    <w:p>
      <w:r>
        <w:rPr>
          <w:b w:val="0"/>
          <w:i w:val="0"/>
        </w:rPr>
        <w:t>Until both exist, the correct action is to hold the run. The item set is finished and will not change; it can sit until the runner catches up. Executing the run first and adding the instrumentation later would mean discarding the results and paying for the inference twice.</w:t>
      </w:r>
    </w:p>
    <w:p>
      <w:pPr>
        <w:pStyle w:val="Heading1"/>
      </w:pPr>
      <w:r>
        <w:t>6. Sentence selection</w:t>
      </w:r>
    </w:p>
    <w:p>
      <w:r>
        <w:rPr>
          <w:b w:val="0"/>
          <w:i w:val="0"/>
        </w:rPr>
        <w:t>Twenty candidate sentences were written, ten biomarkers and ten anatomical structures (Appendix A). Only four biomarker sentences and two anatomy sentences are used: BM07, BM02, BM04, BM08 and AN04, AN10. The reasons are specific to this corpus and are set out below.</w:t>
      </w:r>
    </w:p>
    <w:p>
      <w:pPr>
        <w:pStyle w:val="Heading2"/>
      </w:pPr>
      <w:r>
        <w:t>6.1 Specimen type eliminates three biomarker sentences</w:t>
      </w:r>
    </w:p>
    <w:p>
      <w:r>
        <w:rPr>
          <w:b w:val="0"/>
          <w:i w:val="0"/>
        </w:rPr>
        <w:t>Three biomarker sentences specify a faecal or salivary specimen (BM03, BM09, BM06). A faecal or salivary determination is a distinct investigation that a gastroenterology vignette would have had to order; appending one asserts that a test was performed rather than reporting an extra value from a panel that the narrative already describes. Only serum and plasma sentences — BM01, BM02, BM04, BM05, BM07, BM08 and BM10 — can be appended as an additional line of an existing laboratory report.</w:t>
      </w:r>
    </w:p>
    <w:p>
      <w:pPr>
        <w:pStyle w:val="Heading2"/>
      </w:pPr>
      <w:r>
        <w:t>6.2 Lexical camouflage selects the four that are used</w:t>
      </w:r>
    </w:p>
    <w:p>
      <w:r>
        <w:rPr>
          <w:b w:val="0"/>
          <w:i w:val="0"/>
        </w:rPr>
        <w:t>Of the seven serum and plasma sentences, the four with the fewest root collisions in the corpus are used, in ascending order of collision count. The table below counts, for each sentence, how many item texts already contain its root, across the full bank, across the 182 mechanically insertable items, and across the 99-item biomarker arm, which is the number that matters.</w:t>
      </w:r>
    </w:p>
    <w:tbl>
      <w:tblPr>
        <w:tblStyle w:val="TableGrid"/>
        <w:tblW w:type="auto" w:w="0"/>
        <w:jc w:val="left"/>
        <w:tblLayout w:type="autofit"/>
        <w:tblLook w:firstColumn="1" w:firstRow="1" w:lastColumn="0" w:lastRow="0" w:noHBand="0" w:noVBand="1" w:val="04A0"/>
      </w:tblPr>
      <w:tblGrid>
        <w:gridCol w:w="1242"/>
        <w:gridCol w:w="1242"/>
        <w:gridCol w:w="1242"/>
        <w:gridCol w:w="1242"/>
        <w:gridCol w:w="1242"/>
        <w:gridCol w:w="1242"/>
        <w:gridCol w:w="1242"/>
        <w:gridCol w:w="1242"/>
      </w:tblGrid>
      <w:tr>
        <w:tc>
          <w:tcPr>
            <w:tcW w:type="dxa" w:w="648"/>
          </w:tcPr>
          <w:p>
            <w:pPr>
              <w:spacing w:after="20" w:before="20"/>
            </w:pPr>
            <w:r/>
            <w:r>
              <w:rPr>
                <w:b/>
                <w:sz w:val="15"/>
              </w:rPr>
              <w:t>ID</w:t>
            </w:r>
          </w:p>
        </w:tc>
        <w:tc>
          <w:tcPr>
            <w:tcW w:type="dxa" w:w="1944"/>
          </w:tcPr>
          <w:p>
            <w:pPr>
              <w:spacing w:after="20" w:before="20"/>
            </w:pPr>
            <w:r/>
            <w:r>
              <w:rPr>
                <w:b/>
                <w:sz w:val="15"/>
              </w:rPr>
              <w:t>Entity</w:t>
            </w:r>
          </w:p>
        </w:tc>
        <w:tc>
          <w:tcPr>
            <w:tcW w:type="dxa" w:w="1080"/>
          </w:tcPr>
          <w:p>
            <w:pPr>
              <w:spacing w:after="20" w:before="20"/>
            </w:pPr>
            <w:r/>
            <w:r>
              <w:rPr>
                <w:b/>
                <w:sz w:val="15"/>
              </w:rPr>
              <w:t>Root</w:t>
            </w:r>
          </w:p>
        </w:tc>
        <w:tc>
          <w:tcPr>
            <w:tcW w:type="dxa" w:w="1008"/>
          </w:tcPr>
          <w:p>
            <w:pPr>
              <w:spacing w:after="20" w:before="20"/>
            </w:pPr>
            <w:r/>
            <w:r>
              <w:rPr>
                <w:b/>
                <w:sz w:val="15"/>
              </w:rPr>
              <w:t>Specimen</w:t>
            </w:r>
          </w:p>
        </w:tc>
        <w:tc>
          <w:tcPr>
            <w:tcW w:type="dxa" w:w="1008"/>
          </w:tcPr>
          <w:p>
            <w:pPr>
              <w:spacing w:after="20" w:before="20"/>
            </w:pPr>
            <w:r/>
            <w:r>
              <w:rPr>
                <w:b/>
                <w:sz w:val="15"/>
              </w:rPr>
              <w:t>Bank (474)</w:t>
            </w:r>
          </w:p>
        </w:tc>
        <w:tc>
          <w:tcPr>
            <w:tcW w:type="dxa" w:w="1008"/>
          </w:tcPr>
          <w:p>
            <w:pPr>
              <w:spacing w:after="20" w:before="20"/>
            </w:pPr>
            <w:r/>
            <w:r>
              <w:rPr>
                <w:b/>
                <w:sz w:val="15"/>
              </w:rPr>
              <w:t>Pool (182)</w:t>
            </w:r>
          </w:p>
        </w:tc>
        <w:tc>
          <w:tcPr>
            <w:tcW w:type="dxa" w:w="1008"/>
          </w:tcPr>
          <w:p>
            <w:pPr>
              <w:spacing w:after="20" w:before="20"/>
            </w:pPr>
            <w:r/>
            <w:r>
              <w:rPr>
                <w:b/>
                <w:sz w:val="15"/>
              </w:rPr>
              <w:t>BM arm (99)</w:t>
            </w:r>
          </w:p>
        </w:tc>
        <w:tc>
          <w:tcPr>
            <w:tcW w:type="dxa" w:w="720"/>
          </w:tcPr>
          <w:p>
            <w:pPr>
              <w:spacing w:after="20" w:before="20"/>
            </w:pPr>
            <w:r/>
            <w:r>
              <w:rPr>
                <w:b/>
                <w:sz w:val="15"/>
              </w:rPr>
              <w:t>Used</w:t>
            </w:r>
          </w:p>
        </w:tc>
      </w:tr>
      <w:tr>
        <w:tc>
          <w:tcPr>
            <w:tcW w:type="dxa" w:w="648"/>
          </w:tcPr>
          <w:p>
            <w:pPr>
              <w:spacing w:after="20" w:before="20"/>
            </w:pPr>
            <w:r/>
            <w:r>
              <w:rPr>
                <w:sz w:val="15"/>
              </w:rPr>
              <w:t>BM01</w:t>
            </w:r>
          </w:p>
        </w:tc>
        <w:tc>
          <w:tcPr>
            <w:tcW w:type="dxa" w:w="1944"/>
          </w:tcPr>
          <w:p>
            <w:pPr>
              <w:spacing w:after="20" w:before="20"/>
            </w:pPr>
            <w:r/>
            <w:r>
              <w:rPr>
                <w:sz w:val="15"/>
              </w:rPr>
              <w:t>hepatovirelina-3</w:t>
            </w:r>
          </w:p>
        </w:tc>
        <w:tc>
          <w:tcPr>
            <w:tcW w:type="dxa" w:w="1080"/>
          </w:tcPr>
          <w:p>
            <w:pPr>
              <w:spacing w:after="20" w:before="20"/>
            </w:pPr>
            <w:r/>
            <w:r>
              <w:rPr>
                <w:sz w:val="15"/>
              </w:rPr>
              <w:t>hepat</w:t>
            </w:r>
          </w:p>
        </w:tc>
        <w:tc>
          <w:tcPr>
            <w:tcW w:type="dxa" w:w="1008"/>
          </w:tcPr>
          <w:p>
            <w:pPr>
              <w:spacing w:after="20" w:before="20"/>
            </w:pPr>
            <w:r/>
            <w:r>
              <w:rPr>
                <w:sz w:val="15"/>
              </w:rPr>
              <w:t>serum</w:t>
            </w:r>
          </w:p>
        </w:tc>
        <w:tc>
          <w:tcPr>
            <w:tcW w:type="dxa" w:w="1008"/>
          </w:tcPr>
          <w:p>
            <w:pPr>
              <w:spacing w:after="20" w:before="20"/>
              <w:jc w:val="right"/>
            </w:pPr>
            <w:r/>
            <w:r>
              <w:rPr>
                <w:sz w:val="15"/>
              </w:rPr>
              <w:t>122</w:t>
            </w:r>
          </w:p>
        </w:tc>
        <w:tc>
          <w:tcPr>
            <w:tcW w:type="dxa" w:w="1008"/>
          </w:tcPr>
          <w:p>
            <w:pPr>
              <w:spacing w:after="20" w:before="20"/>
              <w:jc w:val="right"/>
            </w:pPr>
            <w:r/>
            <w:r>
              <w:rPr>
                <w:sz w:val="15"/>
              </w:rPr>
              <w:t>50</w:t>
            </w:r>
          </w:p>
        </w:tc>
        <w:tc>
          <w:tcPr>
            <w:tcW w:type="dxa" w:w="1008"/>
          </w:tcPr>
          <w:p>
            <w:pPr>
              <w:spacing w:after="20" w:before="20"/>
              <w:jc w:val="right"/>
            </w:pPr>
            <w:r/>
            <w:r>
              <w:rPr>
                <w:sz w:val="15"/>
              </w:rPr>
              <w:t>25</w:t>
            </w:r>
          </w:p>
        </w:tc>
        <w:tc>
          <w:tcPr>
            <w:tcW w:type="dxa" w:w="720"/>
          </w:tcPr>
          <w:p>
            <w:pPr>
              <w:spacing w:after="20" w:before="20"/>
              <w:jc w:val="right"/>
            </w:pPr>
            <w:r/>
            <w:r>
              <w:rPr>
                <w:sz w:val="15"/>
              </w:rPr>
            </w:r>
          </w:p>
        </w:tc>
      </w:tr>
      <w:tr>
        <w:tc>
          <w:tcPr>
            <w:tcW w:type="dxa" w:w="648"/>
          </w:tcPr>
          <w:p>
            <w:pPr>
              <w:spacing w:after="20" w:before="20"/>
            </w:pPr>
            <w:r/>
            <w:r>
              <w:rPr>
                <w:sz w:val="15"/>
              </w:rPr>
              <w:t>BM02</w:t>
            </w:r>
          </w:p>
        </w:tc>
        <w:tc>
          <w:tcPr>
            <w:tcW w:type="dxa" w:w="1944"/>
          </w:tcPr>
          <w:p>
            <w:pPr>
              <w:spacing w:after="20" w:before="20"/>
            </w:pPr>
            <w:r/>
            <w:r>
              <w:rPr>
                <w:sz w:val="15"/>
              </w:rPr>
              <w:t>colangiomirina-8</w:t>
            </w:r>
          </w:p>
        </w:tc>
        <w:tc>
          <w:tcPr>
            <w:tcW w:type="dxa" w:w="1080"/>
          </w:tcPr>
          <w:p>
            <w:pPr>
              <w:spacing w:after="20" w:before="20"/>
            </w:pPr>
            <w:r/>
            <w:r>
              <w:rPr>
                <w:sz w:val="15"/>
              </w:rPr>
              <w:t>colangi</w:t>
            </w:r>
          </w:p>
        </w:tc>
        <w:tc>
          <w:tcPr>
            <w:tcW w:type="dxa" w:w="1008"/>
          </w:tcPr>
          <w:p>
            <w:pPr>
              <w:spacing w:after="20" w:before="20"/>
            </w:pPr>
            <w:r/>
            <w:r>
              <w:rPr>
                <w:sz w:val="15"/>
              </w:rPr>
              <w:t>plasma</w:t>
            </w:r>
          </w:p>
        </w:tc>
        <w:tc>
          <w:tcPr>
            <w:tcW w:type="dxa" w:w="1008"/>
          </w:tcPr>
          <w:p>
            <w:pPr>
              <w:spacing w:after="20" w:before="20"/>
              <w:jc w:val="right"/>
            </w:pPr>
            <w:r/>
            <w:r>
              <w:rPr>
                <w:sz w:val="15"/>
              </w:rPr>
              <w:t>14</w:t>
            </w:r>
          </w:p>
        </w:tc>
        <w:tc>
          <w:tcPr>
            <w:tcW w:type="dxa" w:w="1008"/>
          </w:tcPr>
          <w:p>
            <w:pPr>
              <w:spacing w:after="20" w:before="20"/>
              <w:jc w:val="right"/>
            </w:pPr>
            <w:r/>
            <w:r>
              <w:rPr>
                <w:sz w:val="15"/>
              </w:rPr>
              <w:t>2</w:t>
            </w:r>
          </w:p>
        </w:tc>
        <w:tc>
          <w:tcPr>
            <w:tcW w:type="dxa" w:w="1008"/>
          </w:tcPr>
          <w:p>
            <w:pPr>
              <w:spacing w:after="20" w:before="20"/>
              <w:jc w:val="right"/>
            </w:pPr>
            <w:r/>
            <w:r>
              <w:rPr>
                <w:sz w:val="15"/>
              </w:rPr>
              <w:t>1</w:t>
            </w:r>
          </w:p>
        </w:tc>
        <w:tc>
          <w:tcPr>
            <w:tcW w:type="dxa" w:w="720"/>
          </w:tcPr>
          <w:p>
            <w:pPr>
              <w:spacing w:after="20" w:before="20"/>
              <w:jc w:val="right"/>
            </w:pPr>
            <w:r/>
            <w:r>
              <w:rPr>
                <w:sz w:val="15"/>
              </w:rPr>
              <w:t>yes</w:t>
            </w:r>
          </w:p>
        </w:tc>
      </w:tr>
      <w:tr>
        <w:tc>
          <w:tcPr>
            <w:tcW w:type="dxa" w:w="648"/>
          </w:tcPr>
          <w:p>
            <w:pPr>
              <w:spacing w:after="20" w:before="20"/>
            </w:pPr>
            <w:r/>
            <w:r>
              <w:rPr>
                <w:sz w:val="15"/>
              </w:rPr>
              <w:t>BM03</w:t>
            </w:r>
          </w:p>
        </w:tc>
        <w:tc>
          <w:tcPr>
            <w:tcW w:type="dxa" w:w="1944"/>
          </w:tcPr>
          <w:p>
            <w:pPr>
              <w:spacing w:after="20" w:before="20"/>
            </w:pPr>
            <w:r/>
            <w:r>
              <w:rPr>
                <w:sz w:val="15"/>
              </w:rPr>
              <w:t>enterovexina-R2</w:t>
            </w:r>
          </w:p>
        </w:tc>
        <w:tc>
          <w:tcPr>
            <w:tcW w:type="dxa" w:w="1080"/>
          </w:tcPr>
          <w:p>
            <w:pPr>
              <w:spacing w:after="20" w:before="20"/>
            </w:pPr>
            <w:r/>
            <w:r>
              <w:rPr>
                <w:sz w:val="15"/>
              </w:rPr>
              <w:t>entero</w:t>
            </w:r>
          </w:p>
        </w:tc>
        <w:tc>
          <w:tcPr>
            <w:tcW w:type="dxa" w:w="1008"/>
          </w:tcPr>
          <w:p>
            <w:pPr>
              <w:spacing w:after="20" w:before="20"/>
            </w:pPr>
            <w:r/>
            <w:r>
              <w:rPr>
                <w:sz w:val="15"/>
              </w:rPr>
              <w:t>faecal</w:t>
            </w:r>
          </w:p>
        </w:tc>
        <w:tc>
          <w:tcPr>
            <w:tcW w:type="dxa" w:w="1008"/>
          </w:tcPr>
          <w:p>
            <w:pPr>
              <w:spacing w:after="20" w:before="20"/>
              <w:jc w:val="right"/>
            </w:pPr>
            <w:r/>
            <w:r>
              <w:rPr>
                <w:sz w:val="15"/>
              </w:rPr>
              <w:t>5</w:t>
            </w:r>
          </w:p>
        </w:tc>
        <w:tc>
          <w:tcPr>
            <w:tcW w:type="dxa" w:w="1008"/>
          </w:tcPr>
          <w:p>
            <w:pPr>
              <w:spacing w:after="20" w:before="20"/>
              <w:jc w:val="right"/>
            </w:pPr>
            <w:r/>
            <w:r>
              <w:rPr>
                <w:sz w:val="15"/>
              </w:rPr>
              <w:t>2</w:t>
            </w:r>
          </w:p>
        </w:tc>
        <w:tc>
          <w:tcPr>
            <w:tcW w:type="dxa" w:w="1008"/>
          </w:tcPr>
          <w:p>
            <w:pPr>
              <w:spacing w:after="20" w:before="20"/>
              <w:jc w:val="right"/>
            </w:pPr>
            <w:r/>
            <w:r>
              <w:rPr>
                <w:sz w:val="15"/>
              </w:rPr>
              <w:t>2</w:t>
            </w:r>
          </w:p>
        </w:tc>
        <w:tc>
          <w:tcPr>
            <w:tcW w:type="dxa" w:w="720"/>
          </w:tcPr>
          <w:p>
            <w:pPr>
              <w:spacing w:after="20" w:before="20"/>
              <w:jc w:val="right"/>
            </w:pPr>
            <w:r/>
            <w:r>
              <w:rPr>
                <w:sz w:val="15"/>
              </w:rPr>
            </w:r>
          </w:p>
        </w:tc>
      </w:tr>
      <w:tr>
        <w:tc>
          <w:tcPr>
            <w:tcW w:type="dxa" w:w="648"/>
          </w:tcPr>
          <w:p>
            <w:pPr>
              <w:spacing w:after="20" w:before="20"/>
            </w:pPr>
            <w:r/>
            <w:r>
              <w:rPr>
                <w:sz w:val="15"/>
              </w:rPr>
              <w:t>BM04</w:t>
            </w:r>
          </w:p>
        </w:tc>
        <w:tc>
          <w:tcPr>
            <w:tcW w:type="dxa" w:w="1944"/>
          </w:tcPr>
          <w:p>
            <w:pPr>
              <w:spacing w:after="20" w:before="20"/>
            </w:pPr>
            <w:r/>
            <w:r>
              <w:rPr>
                <w:sz w:val="15"/>
              </w:rPr>
              <w:t>pancreocerina-K4</w:t>
            </w:r>
          </w:p>
        </w:tc>
        <w:tc>
          <w:tcPr>
            <w:tcW w:type="dxa" w:w="1080"/>
          </w:tcPr>
          <w:p>
            <w:pPr>
              <w:spacing w:after="20" w:before="20"/>
            </w:pPr>
            <w:r/>
            <w:r>
              <w:rPr>
                <w:sz w:val="15"/>
              </w:rPr>
              <w:t>pancre</w:t>
            </w:r>
          </w:p>
        </w:tc>
        <w:tc>
          <w:tcPr>
            <w:tcW w:type="dxa" w:w="1008"/>
          </w:tcPr>
          <w:p>
            <w:pPr>
              <w:spacing w:after="20" w:before="20"/>
            </w:pPr>
            <w:r/>
            <w:r>
              <w:rPr>
                <w:sz w:val="15"/>
              </w:rPr>
              <w:t>serum</w:t>
            </w:r>
          </w:p>
        </w:tc>
        <w:tc>
          <w:tcPr>
            <w:tcW w:type="dxa" w:w="1008"/>
          </w:tcPr>
          <w:p>
            <w:pPr>
              <w:spacing w:after="20" w:before="20"/>
              <w:jc w:val="right"/>
            </w:pPr>
            <w:r/>
            <w:r>
              <w:rPr>
                <w:sz w:val="15"/>
              </w:rPr>
              <w:t>84</w:t>
            </w:r>
          </w:p>
        </w:tc>
        <w:tc>
          <w:tcPr>
            <w:tcW w:type="dxa" w:w="1008"/>
          </w:tcPr>
          <w:p>
            <w:pPr>
              <w:spacing w:after="20" w:before="20"/>
              <w:jc w:val="right"/>
            </w:pPr>
            <w:r/>
            <w:r>
              <w:rPr>
                <w:sz w:val="15"/>
              </w:rPr>
              <w:t>44</w:t>
            </w:r>
          </w:p>
        </w:tc>
        <w:tc>
          <w:tcPr>
            <w:tcW w:type="dxa" w:w="1008"/>
          </w:tcPr>
          <w:p>
            <w:pPr>
              <w:spacing w:after="20" w:before="20"/>
              <w:jc w:val="right"/>
            </w:pPr>
            <w:r/>
            <w:r>
              <w:rPr>
                <w:sz w:val="15"/>
              </w:rPr>
              <w:t>3</w:t>
            </w:r>
          </w:p>
        </w:tc>
        <w:tc>
          <w:tcPr>
            <w:tcW w:type="dxa" w:w="720"/>
          </w:tcPr>
          <w:p>
            <w:pPr>
              <w:spacing w:after="20" w:before="20"/>
              <w:jc w:val="right"/>
            </w:pPr>
            <w:r/>
            <w:r>
              <w:rPr>
                <w:sz w:val="15"/>
              </w:rPr>
              <w:t>yes</w:t>
            </w:r>
          </w:p>
        </w:tc>
      </w:tr>
      <w:tr>
        <w:tc>
          <w:tcPr>
            <w:tcW w:type="dxa" w:w="648"/>
          </w:tcPr>
          <w:p>
            <w:pPr>
              <w:spacing w:after="20" w:before="20"/>
            </w:pPr>
            <w:r/>
            <w:r>
              <w:rPr>
                <w:sz w:val="15"/>
              </w:rPr>
              <w:t>BM05</w:t>
            </w:r>
          </w:p>
        </w:tc>
        <w:tc>
          <w:tcPr>
            <w:tcW w:type="dxa" w:w="1944"/>
          </w:tcPr>
          <w:p>
            <w:pPr>
              <w:spacing w:after="20" w:before="20"/>
            </w:pPr>
            <w:r/>
            <w:r>
              <w:rPr>
                <w:sz w:val="15"/>
              </w:rPr>
              <w:t>gastrofollina-P6</w:t>
            </w:r>
          </w:p>
        </w:tc>
        <w:tc>
          <w:tcPr>
            <w:tcW w:type="dxa" w:w="1080"/>
          </w:tcPr>
          <w:p>
            <w:pPr>
              <w:spacing w:after="20" w:before="20"/>
            </w:pPr>
            <w:r/>
            <w:r>
              <w:rPr>
                <w:sz w:val="15"/>
              </w:rPr>
              <w:t>gastr</w:t>
            </w:r>
          </w:p>
        </w:tc>
        <w:tc>
          <w:tcPr>
            <w:tcW w:type="dxa" w:w="1008"/>
          </w:tcPr>
          <w:p>
            <w:pPr>
              <w:spacing w:after="20" w:before="20"/>
            </w:pPr>
            <w:r/>
            <w:r>
              <w:rPr>
                <w:sz w:val="15"/>
              </w:rPr>
              <w:t>plasma</w:t>
            </w:r>
          </w:p>
        </w:tc>
        <w:tc>
          <w:tcPr>
            <w:tcW w:type="dxa" w:w="1008"/>
          </w:tcPr>
          <w:p>
            <w:pPr>
              <w:spacing w:after="20" w:before="20"/>
              <w:jc w:val="right"/>
            </w:pPr>
            <w:r/>
            <w:r>
              <w:rPr>
                <w:sz w:val="15"/>
              </w:rPr>
              <w:t>119</w:t>
            </w:r>
          </w:p>
        </w:tc>
        <w:tc>
          <w:tcPr>
            <w:tcW w:type="dxa" w:w="1008"/>
          </w:tcPr>
          <w:p>
            <w:pPr>
              <w:spacing w:after="20" w:before="20"/>
              <w:jc w:val="right"/>
            </w:pPr>
            <w:r/>
            <w:r>
              <w:rPr>
                <w:sz w:val="15"/>
              </w:rPr>
              <w:t>85</w:t>
            </w:r>
          </w:p>
        </w:tc>
        <w:tc>
          <w:tcPr>
            <w:tcW w:type="dxa" w:w="1008"/>
          </w:tcPr>
          <w:p>
            <w:pPr>
              <w:spacing w:after="20" w:before="20"/>
              <w:jc w:val="right"/>
            </w:pPr>
            <w:r/>
            <w:r>
              <w:rPr>
                <w:sz w:val="15"/>
              </w:rPr>
              <w:t>45</w:t>
            </w:r>
          </w:p>
        </w:tc>
        <w:tc>
          <w:tcPr>
            <w:tcW w:type="dxa" w:w="720"/>
          </w:tcPr>
          <w:p>
            <w:pPr>
              <w:spacing w:after="20" w:before="20"/>
              <w:jc w:val="right"/>
            </w:pPr>
            <w:r/>
            <w:r>
              <w:rPr>
                <w:sz w:val="15"/>
              </w:rPr>
            </w:r>
          </w:p>
        </w:tc>
      </w:tr>
      <w:tr>
        <w:tc>
          <w:tcPr>
            <w:tcW w:type="dxa" w:w="648"/>
          </w:tcPr>
          <w:p>
            <w:pPr>
              <w:spacing w:after="20" w:before="20"/>
            </w:pPr>
            <w:r/>
            <w:r>
              <w:rPr>
                <w:sz w:val="15"/>
              </w:rPr>
              <w:t>BM06</w:t>
            </w:r>
          </w:p>
        </w:tc>
        <w:tc>
          <w:tcPr>
            <w:tcW w:type="dxa" w:w="1944"/>
          </w:tcPr>
          <w:p>
            <w:pPr>
              <w:spacing w:after="20" w:before="20"/>
            </w:pPr>
            <w:r/>
            <w:r>
              <w:rPr>
                <w:sz w:val="15"/>
              </w:rPr>
              <w:t>mucorynex-Z9</w:t>
            </w:r>
          </w:p>
        </w:tc>
        <w:tc>
          <w:tcPr>
            <w:tcW w:type="dxa" w:w="1080"/>
          </w:tcPr>
          <w:p>
            <w:pPr>
              <w:spacing w:after="20" w:before="20"/>
            </w:pPr>
            <w:r/>
            <w:r>
              <w:rPr>
                <w:sz w:val="15"/>
              </w:rPr>
              <w:t>muco</w:t>
            </w:r>
          </w:p>
        </w:tc>
        <w:tc>
          <w:tcPr>
            <w:tcW w:type="dxa" w:w="1008"/>
          </w:tcPr>
          <w:p>
            <w:pPr>
              <w:spacing w:after="20" w:before="20"/>
            </w:pPr>
            <w:r/>
            <w:r>
              <w:rPr>
                <w:sz w:val="15"/>
              </w:rPr>
              <w:t>saliva</w:t>
            </w:r>
          </w:p>
        </w:tc>
        <w:tc>
          <w:tcPr>
            <w:tcW w:type="dxa" w:w="1008"/>
          </w:tcPr>
          <w:p>
            <w:pPr>
              <w:spacing w:after="20" w:before="20"/>
              <w:jc w:val="right"/>
            </w:pPr>
            <w:r/>
            <w:r>
              <w:rPr>
                <w:sz w:val="15"/>
              </w:rPr>
              <w:t>86</w:t>
            </w:r>
          </w:p>
        </w:tc>
        <w:tc>
          <w:tcPr>
            <w:tcW w:type="dxa" w:w="1008"/>
          </w:tcPr>
          <w:p>
            <w:pPr>
              <w:spacing w:after="20" w:before="20"/>
              <w:jc w:val="right"/>
            </w:pPr>
            <w:r/>
            <w:r>
              <w:rPr>
                <w:sz w:val="15"/>
              </w:rPr>
              <w:t>83</w:t>
            </w:r>
          </w:p>
        </w:tc>
        <w:tc>
          <w:tcPr>
            <w:tcW w:type="dxa" w:w="1008"/>
          </w:tcPr>
          <w:p>
            <w:pPr>
              <w:spacing w:after="20" w:before="20"/>
              <w:jc w:val="right"/>
            </w:pPr>
            <w:r/>
            <w:r>
              <w:rPr>
                <w:sz w:val="15"/>
              </w:rPr>
              <w:t>49</w:t>
            </w:r>
          </w:p>
        </w:tc>
        <w:tc>
          <w:tcPr>
            <w:tcW w:type="dxa" w:w="720"/>
          </w:tcPr>
          <w:p>
            <w:pPr>
              <w:spacing w:after="20" w:before="20"/>
              <w:jc w:val="right"/>
            </w:pPr>
            <w:r/>
            <w:r>
              <w:rPr>
                <w:sz w:val="15"/>
              </w:rPr>
            </w:r>
          </w:p>
        </w:tc>
      </w:tr>
      <w:tr>
        <w:tc>
          <w:tcPr>
            <w:tcW w:type="dxa" w:w="648"/>
          </w:tcPr>
          <w:p>
            <w:pPr>
              <w:spacing w:after="20" w:before="20"/>
            </w:pPr>
            <w:r/>
            <w:r>
              <w:rPr>
                <w:sz w:val="15"/>
              </w:rPr>
              <w:t>BM07</w:t>
            </w:r>
          </w:p>
        </w:tc>
        <w:tc>
          <w:tcPr>
            <w:tcW w:type="dxa" w:w="1944"/>
          </w:tcPr>
          <w:p>
            <w:pPr>
              <w:spacing w:after="20" w:before="20"/>
            </w:pPr>
            <w:r/>
            <w:r>
              <w:rPr>
                <w:sz w:val="15"/>
              </w:rPr>
              <w:t>fibroquelina-X3</w:t>
            </w:r>
          </w:p>
        </w:tc>
        <w:tc>
          <w:tcPr>
            <w:tcW w:type="dxa" w:w="1080"/>
          </w:tcPr>
          <w:p>
            <w:pPr>
              <w:spacing w:after="20" w:before="20"/>
            </w:pPr>
            <w:r/>
            <w:r>
              <w:rPr>
                <w:sz w:val="15"/>
              </w:rPr>
              <w:t>fibro</w:t>
            </w:r>
          </w:p>
        </w:tc>
        <w:tc>
          <w:tcPr>
            <w:tcW w:type="dxa" w:w="1008"/>
          </w:tcPr>
          <w:p>
            <w:pPr>
              <w:spacing w:after="20" w:before="20"/>
            </w:pPr>
            <w:r/>
            <w:r>
              <w:rPr>
                <w:sz w:val="15"/>
              </w:rPr>
              <w:t>serum</w:t>
            </w:r>
          </w:p>
        </w:tc>
        <w:tc>
          <w:tcPr>
            <w:tcW w:type="dxa" w:w="1008"/>
          </w:tcPr>
          <w:p>
            <w:pPr>
              <w:spacing w:after="20" w:before="20"/>
              <w:jc w:val="right"/>
            </w:pPr>
            <w:r/>
            <w:r>
              <w:rPr>
                <w:sz w:val="15"/>
              </w:rPr>
              <w:t>4</w:t>
            </w:r>
          </w:p>
        </w:tc>
        <w:tc>
          <w:tcPr>
            <w:tcW w:type="dxa" w:w="1008"/>
          </w:tcPr>
          <w:p>
            <w:pPr>
              <w:spacing w:after="20" w:before="20"/>
              <w:jc w:val="right"/>
            </w:pPr>
            <w:r/>
            <w:r>
              <w:rPr>
                <w:sz w:val="15"/>
              </w:rPr>
              <w:t>1</w:t>
            </w:r>
          </w:p>
        </w:tc>
        <w:tc>
          <w:tcPr>
            <w:tcW w:type="dxa" w:w="1008"/>
          </w:tcPr>
          <w:p>
            <w:pPr>
              <w:spacing w:after="20" w:before="20"/>
              <w:jc w:val="right"/>
            </w:pPr>
            <w:r/>
            <w:r>
              <w:rPr>
                <w:sz w:val="15"/>
              </w:rPr>
              <w:t>1</w:t>
            </w:r>
          </w:p>
        </w:tc>
        <w:tc>
          <w:tcPr>
            <w:tcW w:type="dxa" w:w="720"/>
          </w:tcPr>
          <w:p>
            <w:pPr>
              <w:spacing w:after="20" w:before="20"/>
              <w:jc w:val="right"/>
            </w:pPr>
            <w:r/>
            <w:r>
              <w:rPr>
                <w:sz w:val="15"/>
              </w:rPr>
              <w:t>yes</w:t>
            </w:r>
          </w:p>
        </w:tc>
      </w:tr>
      <w:tr>
        <w:tc>
          <w:tcPr>
            <w:tcW w:type="dxa" w:w="648"/>
          </w:tcPr>
          <w:p>
            <w:pPr>
              <w:spacing w:after="20" w:before="20"/>
            </w:pPr>
            <w:r/>
            <w:r>
              <w:rPr>
                <w:sz w:val="15"/>
              </w:rPr>
              <w:t>BM08</w:t>
            </w:r>
          </w:p>
        </w:tc>
        <w:tc>
          <w:tcPr>
            <w:tcW w:type="dxa" w:w="1944"/>
          </w:tcPr>
          <w:p>
            <w:pPr>
              <w:spacing w:after="20" w:before="20"/>
            </w:pPr>
            <w:r/>
            <w:r>
              <w:rPr>
                <w:sz w:val="15"/>
              </w:rPr>
              <w:t>portalectina-Q5</w:t>
            </w:r>
          </w:p>
        </w:tc>
        <w:tc>
          <w:tcPr>
            <w:tcW w:type="dxa" w:w="1080"/>
          </w:tcPr>
          <w:p>
            <w:pPr>
              <w:spacing w:after="20" w:before="20"/>
            </w:pPr>
            <w:r/>
            <w:r>
              <w:rPr>
                <w:sz w:val="15"/>
              </w:rPr>
              <w:t>portal</w:t>
            </w:r>
          </w:p>
        </w:tc>
        <w:tc>
          <w:tcPr>
            <w:tcW w:type="dxa" w:w="1008"/>
          </w:tcPr>
          <w:p>
            <w:pPr>
              <w:spacing w:after="20" w:before="20"/>
            </w:pPr>
            <w:r/>
            <w:r>
              <w:rPr>
                <w:sz w:val="15"/>
              </w:rPr>
              <w:t>plasma</w:t>
            </w:r>
          </w:p>
        </w:tc>
        <w:tc>
          <w:tcPr>
            <w:tcW w:type="dxa" w:w="1008"/>
          </w:tcPr>
          <w:p>
            <w:pPr>
              <w:spacing w:after="20" w:before="20"/>
              <w:jc w:val="right"/>
            </w:pPr>
            <w:r/>
            <w:r>
              <w:rPr>
                <w:sz w:val="15"/>
              </w:rPr>
              <w:t>23</w:t>
            </w:r>
          </w:p>
        </w:tc>
        <w:tc>
          <w:tcPr>
            <w:tcW w:type="dxa" w:w="1008"/>
          </w:tcPr>
          <w:p>
            <w:pPr>
              <w:spacing w:after="20" w:before="20"/>
              <w:jc w:val="right"/>
            </w:pPr>
            <w:r/>
            <w:r>
              <w:rPr>
                <w:sz w:val="15"/>
              </w:rPr>
              <w:t>14</w:t>
            </w:r>
          </w:p>
        </w:tc>
        <w:tc>
          <w:tcPr>
            <w:tcW w:type="dxa" w:w="1008"/>
          </w:tcPr>
          <w:p>
            <w:pPr>
              <w:spacing w:after="20" w:before="20"/>
              <w:jc w:val="right"/>
            </w:pPr>
            <w:r/>
            <w:r>
              <w:rPr>
                <w:sz w:val="15"/>
              </w:rPr>
              <w:t>2</w:t>
            </w:r>
          </w:p>
        </w:tc>
        <w:tc>
          <w:tcPr>
            <w:tcW w:type="dxa" w:w="720"/>
          </w:tcPr>
          <w:p>
            <w:pPr>
              <w:spacing w:after="20" w:before="20"/>
              <w:jc w:val="right"/>
            </w:pPr>
            <w:r/>
            <w:r>
              <w:rPr>
                <w:sz w:val="15"/>
              </w:rPr>
              <w:t>yes</w:t>
            </w:r>
          </w:p>
        </w:tc>
      </w:tr>
      <w:tr>
        <w:tc>
          <w:tcPr>
            <w:tcW w:type="dxa" w:w="648"/>
          </w:tcPr>
          <w:p>
            <w:pPr>
              <w:spacing w:after="20" w:before="20"/>
            </w:pPr>
            <w:r/>
            <w:r>
              <w:rPr>
                <w:sz w:val="15"/>
              </w:rPr>
              <w:t>BM09</w:t>
            </w:r>
          </w:p>
        </w:tc>
        <w:tc>
          <w:tcPr>
            <w:tcW w:type="dxa" w:w="1944"/>
          </w:tcPr>
          <w:p>
            <w:pPr>
              <w:spacing w:after="20" w:before="20"/>
            </w:pPr>
            <w:r/>
            <w:r>
              <w:rPr>
                <w:sz w:val="15"/>
              </w:rPr>
              <w:t>ileovarina-T5</w:t>
            </w:r>
          </w:p>
        </w:tc>
        <w:tc>
          <w:tcPr>
            <w:tcW w:type="dxa" w:w="1080"/>
          </w:tcPr>
          <w:p>
            <w:pPr>
              <w:spacing w:after="20" w:before="20"/>
            </w:pPr>
            <w:r/>
            <w:r>
              <w:rPr>
                <w:sz w:val="15"/>
              </w:rPr>
              <w:t>ileo</w:t>
            </w:r>
          </w:p>
        </w:tc>
        <w:tc>
          <w:tcPr>
            <w:tcW w:type="dxa" w:w="1008"/>
          </w:tcPr>
          <w:p>
            <w:pPr>
              <w:spacing w:after="20" w:before="20"/>
            </w:pPr>
            <w:r/>
            <w:r>
              <w:rPr>
                <w:sz w:val="15"/>
              </w:rPr>
              <w:t>faecal</w:t>
            </w:r>
          </w:p>
        </w:tc>
        <w:tc>
          <w:tcPr>
            <w:tcW w:type="dxa" w:w="1008"/>
          </w:tcPr>
          <w:p>
            <w:pPr>
              <w:spacing w:after="20" w:before="20"/>
              <w:jc w:val="right"/>
            </w:pPr>
            <w:r/>
            <w:r>
              <w:rPr>
                <w:sz w:val="15"/>
              </w:rPr>
              <w:t>31</w:t>
            </w:r>
          </w:p>
        </w:tc>
        <w:tc>
          <w:tcPr>
            <w:tcW w:type="dxa" w:w="1008"/>
          </w:tcPr>
          <w:p>
            <w:pPr>
              <w:spacing w:after="20" w:before="20"/>
              <w:jc w:val="right"/>
            </w:pPr>
            <w:r/>
            <w:r>
              <w:rPr>
                <w:sz w:val="15"/>
              </w:rPr>
              <w:t>27</w:t>
            </w:r>
          </w:p>
        </w:tc>
        <w:tc>
          <w:tcPr>
            <w:tcW w:type="dxa" w:w="1008"/>
          </w:tcPr>
          <w:p>
            <w:pPr>
              <w:spacing w:after="20" w:before="20"/>
              <w:jc w:val="right"/>
            </w:pPr>
            <w:r/>
            <w:r>
              <w:rPr>
                <w:sz w:val="15"/>
              </w:rPr>
              <w:t>21</w:t>
            </w:r>
          </w:p>
        </w:tc>
        <w:tc>
          <w:tcPr>
            <w:tcW w:type="dxa" w:w="720"/>
          </w:tcPr>
          <w:p>
            <w:pPr>
              <w:spacing w:after="20" w:before="20"/>
              <w:jc w:val="right"/>
            </w:pPr>
            <w:r/>
            <w:r>
              <w:rPr>
                <w:sz w:val="15"/>
              </w:rPr>
            </w:r>
          </w:p>
        </w:tc>
      </w:tr>
      <w:tr>
        <w:tc>
          <w:tcPr>
            <w:tcW w:type="dxa" w:w="648"/>
          </w:tcPr>
          <w:p>
            <w:pPr>
              <w:spacing w:after="20" w:before="20"/>
            </w:pPr>
            <w:r/>
            <w:r>
              <w:rPr>
                <w:sz w:val="15"/>
              </w:rPr>
              <w:t>BM10</w:t>
            </w:r>
          </w:p>
        </w:tc>
        <w:tc>
          <w:tcPr>
            <w:tcW w:type="dxa" w:w="1944"/>
          </w:tcPr>
          <w:p>
            <w:pPr>
              <w:spacing w:after="20" w:before="20"/>
            </w:pPr>
            <w:r/>
            <w:r>
              <w:rPr>
                <w:sz w:val="15"/>
              </w:rPr>
              <w:t>colonorelina-M7</w:t>
            </w:r>
          </w:p>
        </w:tc>
        <w:tc>
          <w:tcPr>
            <w:tcW w:type="dxa" w:w="1080"/>
          </w:tcPr>
          <w:p>
            <w:pPr>
              <w:spacing w:after="20" w:before="20"/>
            </w:pPr>
            <w:r/>
            <w:r>
              <w:rPr>
                <w:sz w:val="15"/>
              </w:rPr>
              <w:t>colon</w:t>
            </w:r>
          </w:p>
        </w:tc>
        <w:tc>
          <w:tcPr>
            <w:tcW w:type="dxa" w:w="1008"/>
          </w:tcPr>
          <w:p>
            <w:pPr>
              <w:spacing w:after="20" w:before="20"/>
            </w:pPr>
            <w:r/>
            <w:r>
              <w:rPr>
                <w:sz w:val="15"/>
              </w:rPr>
              <w:t>serum</w:t>
            </w:r>
          </w:p>
        </w:tc>
        <w:tc>
          <w:tcPr>
            <w:tcW w:type="dxa" w:w="1008"/>
          </w:tcPr>
          <w:p>
            <w:pPr>
              <w:spacing w:after="20" w:before="20"/>
              <w:jc w:val="right"/>
            </w:pPr>
            <w:r/>
            <w:r>
              <w:rPr>
                <w:sz w:val="15"/>
              </w:rPr>
              <w:t>85</w:t>
            </w:r>
          </w:p>
        </w:tc>
        <w:tc>
          <w:tcPr>
            <w:tcW w:type="dxa" w:w="1008"/>
          </w:tcPr>
          <w:p>
            <w:pPr>
              <w:spacing w:after="20" w:before="20"/>
              <w:jc w:val="right"/>
            </w:pPr>
            <w:r/>
            <w:r>
              <w:rPr>
                <w:sz w:val="15"/>
              </w:rPr>
              <w:t>72</w:t>
            </w:r>
          </w:p>
        </w:tc>
        <w:tc>
          <w:tcPr>
            <w:tcW w:type="dxa" w:w="1008"/>
          </w:tcPr>
          <w:p>
            <w:pPr>
              <w:spacing w:after="20" w:before="20"/>
              <w:jc w:val="right"/>
            </w:pPr>
            <w:r/>
            <w:r>
              <w:rPr>
                <w:sz w:val="15"/>
              </w:rPr>
              <w:t>36</w:t>
            </w:r>
          </w:p>
        </w:tc>
        <w:tc>
          <w:tcPr>
            <w:tcW w:type="dxa" w:w="720"/>
          </w:tcPr>
          <w:p>
            <w:pPr>
              <w:spacing w:after="20" w:before="20"/>
              <w:jc w:val="right"/>
            </w:pPr>
            <w:r/>
            <w:r>
              <w:rPr>
                <w:sz w:val="15"/>
              </w:rPr>
            </w:r>
          </w:p>
        </w:tc>
      </w:tr>
    </w:tbl>
    <w:p>
      <w:pPr>
        <w:spacing w:before="40" w:after="160"/>
      </w:pPr>
      <w:r>
        <w:rPr>
          <w:i/>
          <w:color w:val="444444"/>
          <w:sz w:val="15"/>
        </w:rPr>
        <w:t>Table 6. Root collisions for the ten biomarker sentences. A collision means the item's own text already contains the root, so the fabricated term can be read as an echo of the vignette's vocabulary rather than as a novel entity.</w:t>
      </w:r>
    </w:p>
    <w:p>
      <w:r>
        <w:rPr>
          <w:b w:val="0"/>
          <w:i w:val="0"/>
        </w:rPr>
        <w:t>The ordering is unambiguous. Among the serum and plasma sentences the collision counts in the biomarker arm are BM07 1, BM02 1, BM08 2, BM04 3, BM01 25, BM10 36 and BM05 45. The rotation takes the four cleanest, which is why BM07 fibroquelina-X3 leads: in a gastroenterology corpus, 'fibro' is close to absent (the only host tokens anywhere in the bank are fibrosis (9), fibroscan (3), fibrotica (2)), whereas 'hepat', 'gastr' and 'colon' are ubiquitous.</w:t>
      </w:r>
    </w:p>
    <w:p>
      <w:pPr>
        <w:pStyle w:val="Heading2"/>
      </w:pPr>
      <w:r>
        <w:t>6.3 BM06 mucorynex-Z9 is the worst candidate, not the best</w:t>
      </w:r>
    </w:p>
    <w:p>
      <w:r>
        <w:rPr>
          <w:b w:val="0"/>
          <w:i w:val="0"/>
        </w:rPr>
        <w:t>BM06 is worth singling out because it was proposed as a leading choice on the grounds that 'mucorynex' is phonetically distinctive and unlike any real analyte name. Recomputation from the source workbook inverts that conclusion. The camouflage test is not run on the whole word; it is run on the root, and BM06's root is 'muco'.</w:t>
      </w:r>
    </w:p>
    <w:tbl>
      <w:tblPr>
        <w:tblStyle w:val="TableGrid"/>
        <w:tblW w:type="auto" w:w="0"/>
        <w:jc w:val="left"/>
        <w:tblLayout w:type="autofit"/>
        <w:tblLook w:firstColumn="1" w:firstRow="1" w:lastColumn="0" w:lastRow="0" w:noHBand="0" w:noVBand="1" w:val="04A0"/>
      </w:tblPr>
      <w:tblGrid>
        <w:gridCol w:w="3312"/>
        <w:gridCol w:w="3312"/>
        <w:gridCol w:w="3312"/>
      </w:tblGrid>
      <w:tr>
        <w:tc>
          <w:tcPr>
            <w:tcW w:type="dxa" w:w="3744"/>
          </w:tcPr>
          <w:p>
            <w:pPr>
              <w:spacing w:after="20" w:before="20"/>
            </w:pPr>
            <w:r/>
            <w:r>
              <w:rPr>
                <w:b/>
                <w:sz w:val="15"/>
              </w:rPr>
              <w:t>Measure</w:t>
            </w:r>
          </w:p>
        </w:tc>
        <w:tc>
          <w:tcPr>
            <w:tcW w:type="dxa" w:w="1152"/>
          </w:tcPr>
          <w:p>
            <w:pPr>
              <w:spacing w:after="20" w:before="20"/>
            </w:pPr>
            <w:r/>
            <w:r>
              <w:rPr>
                <w:b/>
                <w:sz w:val="15"/>
              </w:rPr>
              <w:t>Count</w:t>
            </w:r>
          </w:p>
        </w:tc>
        <w:tc>
          <w:tcPr>
            <w:tcW w:type="dxa" w:w="4896"/>
          </w:tcPr>
          <w:p>
            <w:pPr>
              <w:spacing w:after="20" w:before="20"/>
            </w:pPr>
            <w:r/>
            <w:r>
              <w:rPr>
                <w:b/>
                <w:sz w:val="15"/>
              </w:rPr>
              <w:t>Share / detail</w:t>
            </w:r>
          </w:p>
        </w:tc>
      </w:tr>
      <w:tr>
        <w:tc>
          <w:tcPr>
            <w:tcW w:type="dxa" w:w="3744"/>
          </w:tcPr>
          <w:p>
            <w:pPr>
              <w:spacing w:after="20" w:before="20"/>
            </w:pPr>
            <w:r/>
            <w:r>
              <w:rPr>
                <w:sz w:val="15"/>
              </w:rPr>
              <w:t>Items whose question text contains 'muco'</w:t>
            </w:r>
          </w:p>
        </w:tc>
        <w:tc>
          <w:tcPr>
            <w:tcW w:type="dxa" w:w="1152"/>
          </w:tcPr>
          <w:p>
            <w:pPr>
              <w:spacing w:after="20" w:before="20"/>
              <w:jc w:val="right"/>
            </w:pPr>
            <w:r/>
            <w:r>
              <w:rPr>
                <w:sz w:val="15"/>
              </w:rPr>
              <w:t>86</w:t>
            </w:r>
          </w:p>
        </w:tc>
        <w:tc>
          <w:tcPr>
            <w:tcW w:type="dxa" w:w="4896"/>
          </w:tcPr>
          <w:p>
            <w:pPr>
              <w:spacing w:after="20" w:before="20"/>
              <w:jc w:val="right"/>
            </w:pPr>
            <w:r/>
            <w:r>
              <w:rPr>
                <w:sz w:val="15"/>
              </w:rPr>
              <w:t>18.1% of 474</w:t>
            </w:r>
          </w:p>
        </w:tc>
      </w:tr>
      <w:tr>
        <w:tc>
          <w:tcPr>
            <w:tcW w:type="dxa" w:w="3744"/>
          </w:tcPr>
          <w:p>
            <w:pPr>
              <w:spacing w:after="20" w:before="20"/>
            </w:pPr>
            <w:r/>
            <w:r>
              <w:rPr>
                <w:sz w:val="15"/>
              </w:rPr>
              <w:t>Items whose stem or options contain 'muco'</w:t>
            </w:r>
          </w:p>
        </w:tc>
        <w:tc>
          <w:tcPr>
            <w:tcW w:type="dxa" w:w="1152"/>
          </w:tcPr>
          <w:p>
            <w:pPr>
              <w:spacing w:after="20" w:before="20"/>
              <w:jc w:val="right"/>
            </w:pPr>
            <w:r/>
            <w:r>
              <w:rPr>
                <w:sz w:val="15"/>
              </w:rPr>
              <w:t>94</w:t>
            </w:r>
          </w:p>
        </w:tc>
        <w:tc>
          <w:tcPr>
            <w:tcW w:type="dxa" w:w="4896"/>
          </w:tcPr>
          <w:p>
            <w:pPr>
              <w:spacing w:after="20" w:before="20"/>
              <w:jc w:val="right"/>
            </w:pPr>
            <w:r/>
            <w:r>
              <w:rPr>
                <w:sz w:val="15"/>
              </w:rPr>
              <w:t>19.8% of 474</w:t>
            </w:r>
          </w:p>
        </w:tc>
      </w:tr>
      <w:tr>
        <w:tc>
          <w:tcPr>
            <w:tcW w:type="dxa" w:w="3744"/>
          </w:tcPr>
          <w:p>
            <w:pPr>
              <w:spacing w:after="20" w:before="20"/>
            </w:pPr>
            <w:r/>
            <w:r>
              <w:rPr>
                <w:sz w:val="15"/>
              </w:rPr>
              <w:t>Of the 182 mechanically insertable items</w:t>
            </w:r>
          </w:p>
        </w:tc>
        <w:tc>
          <w:tcPr>
            <w:tcW w:type="dxa" w:w="1152"/>
          </w:tcPr>
          <w:p>
            <w:pPr>
              <w:spacing w:after="20" w:before="20"/>
              <w:jc w:val="right"/>
            </w:pPr>
            <w:r/>
            <w:r>
              <w:rPr>
                <w:sz w:val="15"/>
              </w:rPr>
              <w:t>83</w:t>
            </w:r>
          </w:p>
        </w:tc>
        <w:tc>
          <w:tcPr>
            <w:tcW w:type="dxa" w:w="4896"/>
          </w:tcPr>
          <w:p>
            <w:pPr>
              <w:spacing w:after="20" w:before="20"/>
              <w:jc w:val="right"/>
            </w:pPr>
            <w:r/>
            <w:r>
              <w:rPr>
                <w:sz w:val="15"/>
              </w:rPr>
              <w:t>45.6%</w:t>
            </w:r>
          </w:p>
        </w:tc>
      </w:tr>
      <w:tr>
        <w:tc>
          <w:tcPr>
            <w:tcW w:type="dxa" w:w="3744"/>
          </w:tcPr>
          <w:p>
            <w:pPr>
              <w:spacing w:after="20" w:before="20"/>
            </w:pPr>
            <w:r/>
            <w:r>
              <w:rPr>
                <w:sz w:val="15"/>
              </w:rPr>
              <w:t>Of the 99-item biomarker arm</w:t>
            </w:r>
          </w:p>
        </w:tc>
        <w:tc>
          <w:tcPr>
            <w:tcW w:type="dxa" w:w="1152"/>
          </w:tcPr>
          <w:p>
            <w:pPr>
              <w:spacing w:after="20" w:before="20"/>
              <w:jc w:val="right"/>
            </w:pPr>
            <w:r/>
            <w:r>
              <w:rPr>
                <w:sz w:val="15"/>
              </w:rPr>
              <w:t>49</w:t>
            </w:r>
          </w:p>
        </w:tc>
        <w:tc>
          <w:tcPr>
            <w:tcW w:type="dxa" w:w="4896"/>
          </w:tcPr>
          <w:p>
            <w:pPr>
              <w:spacing w:after="20" w:before="20"/>
              <w:jc w:val="right"/>
            </w:pPr>
            <w:r/>
            <w:r>
              <w:rPr>
                <w:sz w:val="15"/>
              </w:rPr>
              <w:t>49.5%</w:t>
            </w:r>
          </w:p>
        </w:tc>
      </w:tr>
      <w:tr>
        <w:tc>
          <w:tcPr>
            <w:tcW w:type="dxa" w:w="3744"/>
          </w:tcPr>
          <w:p>
            <w:pPr>
              <w:spacing w:after="20" w:before="20"/>
            </w:pPr>
            <w:r/>
            <w:r>
              <w:rPr>
                <w:sz w:val="15"/>
              </w:rPr>
              <w:t>Host tokens in the bank (stem and options)</w:t>
            </w:r>
          </w:p>
        </w:tc>
        <w:tc>
          <w:tcPr>
            <w:tcW w:type="dxa" w:w="1152"/>
          </w:tcPr>
          <w:p>
            <w:pPr>
              <w:spacing w:after="20" w:before="20"/>
              <w:jc w:val="right"/>
            </w:pPr>
            <w:r/>
            <w:r>
              <w:rPr>
                <w:sz w:val="15"/>
              </w:rPr>
              <w:t>193</w:t>
            </w:r>
          </w:p>
        </w:tc>
        <w:tc>
          <w:tcPr>
            <w:tcW w:type="dxa" w:w="4896"/>
          </w:tcPr>
          <w:p>
            <w:pPr>
              <w:spacing w:after="20" w:before="20"/>
              <w:jc w:val="right"/>
            </w:pPr>
            <w:r/>
            <w:r>
              <w:rPr>
                <w:sz w:val="15"/>
              </w:rPr>
              <w:t>mucosa 167, submucosa 16, mucoso 4, mucosectomia 2, mucosos 1, mucosanguinolenta 1</w:t>
            </w:r>
          </w:p>
        </w:tc>
      </w:tr>
    </w:tbl>
    <w:p>
      <w:pPr>
        <w:spacing w:before="40" w:after="160"/>
      </w:pPr>
      <w:r>
        <w:rPr>
          <w:i/>
          <w:color w:val="444444"/>
          <w:sz w:val="15"/>
        </w:rPr>
        <w:t>Table 7. BM06 root collision, recomputed from balanced-flat-A.xlsx.</w:t>
      </w:r>
    </w:p>
    <w:p>
      <w:r>
        <w:rPr>
          <w:b w:val="0"/>
          <w:i w:val="0"/>
        </w:rPr>
        <w:t>Nearly half the biomarker arm — 49 of 99 items — already contains 'muco', overwhelmingly as 'mucosa' (167 occurrences), with 'submucosa' (16) and 'mucosectomía' (2) behind it. In a corpus about the digestive tract this is the least distinctive root that could have been chosen. BM06 would have been refused by the camouflage rule on roughly half the arm, and on the other half the term would sit in a text saturated with morphologically similar words, which is the condition under which a fabricated term is most likely to pass unnoticed. It is the worst of the ten, not the best.</w:t>
      </w:r>
    </w:p>
    <w:p>
      <w:pPr>
        <w:pStyle w:val="Heading2"/>
      </w:pPr>
      <w:r>
        <w:t>6.4 The eight imaging-based anatomy sentences are unusable here</w:t>
      </w:r>
    </w:p>
    <w:p>
      <w:r>
        <w:rPr>
          <w:b w:val="0"/>
          <w:i w:val="0"/>
        </w:rPr>
        <w:t>Eight of the ten anatomy sentences attribute the finding to an imaging study: three to ultrasound, three to computed tomography, two to magnetic resonance. Only AN04 and AN10 attribute it to physical examination. An imaging sentence can only be appended where the vignette already reports a study of that modality — otherwise the insertion fabricates an entire investigation, not a finding — and where that study is not already reported as normal, and where neither stem nor options refer to imaging. Applying those three conditions to the paired sets gives the counts below.</w:t>
      </w:r>
    </w:p>
    <w:tbl>
      <w:tblPr>
        <w:tblStyle w:val="TableGrid"/>
        <w:tblW w:type="auto" w:w="0"/>
        <w:jc w:val="left"/>
        <w:tblLayout w:type="autofit"/>
        <w:tblLook w:firstColumn="1" w:firstRow="1" w:lastColumn="0" w:lastRow="0" w:noHBand="0" w:noVBand="1" w:val="04A0"/>
      </w:tblPr>
      <w:tblGrid>
        <w:gridCol w:w="1242"/>
        <w:gridCol w:w="1242"/>
        <w:gridCol w:w="1242"/>
        <w:gridCol w:w="1242"/>
        <w:gridCol w:w="1242"/>
        <w:gridCol w:w="1242"/>
        <w:gridCol w:w="1242"/>
        <w:gridCol w:w="1242"/>
      </w:tblGrid>
      <w:tr>
        <w:tc>
          <w:tcPr>
            <w:tcW w:type="dxa" w:w="1080"/>
          </w:tcPr>
          <w:p>
            <w:pPr>
              <w:spacing w:after="20" w:before="20"/>
            </w:pPr>
            <w:r/>
            <w:r>
              <w:rPr>
                <w:b/>
                <w:sz w:val="15"/>
              </w:rPr>
              <w:t>Modality</w:t>
            </w:r>
          </w:p>
        </w:tc>
        <w:tc>
          <w:tcPr>
            <w:tcW w:type="dxa" w:w="936"/>
          </w:tcPr>
          <w:p>
            <w:pPr>
              <w:spacing w:after="20" w:before="20"/>
            </w:pPr>
            <w:r/>
            <w:r>
              <w:rPr>
                <w:b/>
                <w:sz w:val="15"/>
              </w:rPr>
              <w:t>Bank (474)</w:t>
            </w:r>
          </w:p>
        </w:tc>
        <w:tc>
          <w:tcPr>
            <w:tcW w:type="dxa" w:w="1152"/>
          </w:tcPr>
          <w:p>
            <w:pPr>
              <w:spacing w:after="20" w:before="20"/>
            </w:pPr>
            <w:r/>
            <w:r>
              <w:rPr>
                <w:b/>
                <w:sz w:val="15"/>
              </w:rPr>
              <w:t>Strict 37: reported</w:t>
            </w:r>
          </w:p>
        </w:tc>
        <w:tc>
          <w:tcPr>
            <w:tcW w:type="dxa" w:w="1008"/>
          </w:tcPr>
          <w:p>
            <w:pPr>
              <w:spacing w:after="20" w:before="20"/>
            </w:pPr>
            <w:r/>
            <w:r>
              <w:rPr>
                <w:b/>
                <w:sz w:val="15"/>
              </w:rPr>
              <w:t>not normal</w:t>
            </w:r>
          </w:p>
        </w:tc>
        <w:tc>
          <w:tcPr>
            <w:tcW w:type="dxa" w:w="792"/>
          </w:tcPr>
          <w:p>
            <w:pPr>
              <w:spacing w:after="20" w:before="20"/>
            </w:pPr>
            <w:r/>
            <w:r>
              <w:rPr>
                <w:b/>
                <w:sz w:val="15"/>
              </w:rPr>
              <w:t>clean</w:t>
            </w:r>
          </w:p>
        </w:tc>
        <w:tc>
          <w:tcPr>
            <w:tcW w:type="dxa" w:w="1224"/>
          </w:tcPr>
          <w:p>
            <w:pPr>
              <w:spacing w:after="20" w:before="20"/>
            </w:pPr>
            <w:r/>
            <w:r>
              <w:rPr>
                <w:b/>
                <w:sz w:val="15"/>
              </w:rPr>
              <w:t>Relaxed 58: reported</w:t>
            </w:r>
          </w:p>
        </w:tc>
        <w:tc>
          <w:tcPr>
            <w:tcW w:type="dxa" w:w="1008"/>
          </w:tcPr>
          <w:p>
            <w:pPr>
              <w:spacing w:after="20" w:before="20"/>
            </w:pPr>
            <w:r/>
            <w:r>
              <w:rPr>
                <w:b/>
                <w:sz w:val="15"/>
              </w:rPr>
              <w:t>not normal</w:t>
            </w:r>
          </w:p>
        </w:tc>
        <w:tc>
          <w:tcPr>
            <w:tcW w:type="dxa" w:w="792"/>
          </w:tcPr>
          <w:p>
            <w:pPr>
              <w:spacing w:after="20" w:before="20"/>
            </w:pPr>
            <w:r/>
            <w:r>
              <w:rPr>
                <w:b/>
                <w:sz w:val="15"/>
              </w:rPr>
              <w:t>clean</w:t>
            </w:r>
          </w:p>
        </w:tc>
      </w:tr>
      <w:tr>
        <w:tc>
          <w:tcPr>
            <w:tcW w:type="dxa" w:w="1080"/>
          </w:tcPr>
          <w:p>
            <w:pPr>
              <w:spacing w:after="20" w:before="20"/>
            </w:pPr>
            <w:r/>
            <w:r>
              <w:rPr>
                <w:sz w:val="15"/>
              </w:rPr>
              <w:t>Ultrasound</w:t>
            </w:r>
          </w:p>
        </w:tc>
        <w:tc>
          <w:tcPr>
            <w:tcW w:type="dxa" w:w="936"/>
          </w:tcPr>
          <w:p>
            <w:pPr>
              <w:spacing w:after="20" w:before="20"/>
              <w:jc w:val="right"/>
            </w:pPr>
            <w:r/>
            <w:r>
              <w:rPr>
                <w:sz w:val="15"/>
              </w:rPr>
              <w:t>73</w:t>
            </w:r>
          </w:p>
        </w:tc>
        <w:tc>
          <w:tcPr>
            <w:tcW w:type="dxa" w:w="1152"/>
          </w:tcPr>
          <w:p>
            <w:pPr>
              <w:spacing w:after="20" w:before="20"/>
              <w:jc w:val="right"/>
            </w:pPr>
            <w:r/>
            <w:r>
              <w:rPr>
                <w:sz w:val="15"/>
              </w:rPr>
              <w:t>2</w:t>
            </w:r>
          </w:p>
        </w:tc>
        <w:tc>
          <w:tcPr>
            <w:tcW w:type="dxa" w:w="1008"/>
          </w:tcPr>
          <w:p>
            <w:pPr>
              <w:spacing w:after="20" w:before="20"/>
              <w:jc w:val="right"/>
            </w:pPr>
            <w:r/>
            <w:r>
              <w:rPr>
                <w:sz w:val="15"/>
              </w:rPr>
              <w:t>1</w:t>
            </w:r>
          </w:p>
        </w:tc>
        <w:tc>
          <w:tcPr>
            <w:tcW w:type="dxa" w:w="792"/>
          </w:tcPr>
          <w:p>
            <w:pPr>
              <w:spacing w:after="20" w:before="20"/>
              <w:jc w:val="right"/>
            </w:pPr>
            <w:r/>
            <w:r>
              <w:rPr>
                <w:sz w:val="15"/>
              </w:rPr>
              <w:t>0</w:t>
            </w:r>
          </w:p>
        </w:tc>
        <w:tc>
          <w:tcPr>
            <w:tcW w:type="dxa" w:w="1224"/>
          </w:tcPr>
          <w:p>
            <w:pPr>
              <w:spacing w:after="20" w:before="20"/>
              <w:jc w:val="right"/>
            </w:pPr>
            <w:r/>
            <w:r>
              <w:rPr>
                <w:sz w:val="15"/>
              </w:rPr>
              <w:t>5</w:t>
            </w:r>
          </w:p>
        </w:tc>
        <w:tc>
          <w:tcPr>
            <w:tcW w:type="dxa" w:w="1008"/>
          </w:tcPr>
          <w:p>
            <w:pPr>
              <w:spacing w:after="20" w:before="20"/>
              <w:jc w:val="right"/>
            </w:pPr>
            <w:r/>
            <w:r>
              <w:rPr>
                <w:sz w:val="15"/>
              </w:rPr>
              <w:t>4</w:t>
            </w:r>
          </w:p>
        </w:tc>
        <w:tc>
          <w:tcPr>
            <w:tcW w:type="dxa" w:w="792"/>
          </w:tcPr>
          <w:p>
            <w:pPr>
              <w:spacing w:after="20" w:before="20"/>
              <w:jc w:val="right"/>
            </w:pPr>
            <w:r/>
            <w:r>
              <w:rPr>
                <w:sz w:val="15"/>
              </w:rPr>
              <w:t>3</w:t>
            </w:r>
          </w:p>
        </w:tc>
      </w:tr>
      <w:tr>
        <w:tc>
          <w:tcPr>
            <w:tcW w:type="dxa" w:w="1080"/>
          </w:tcPr>
          <w:p>
            <w:pPr>
              <w:spacing w:after="20" w:before="20"/>
            </w:pPr>
            <w:r/>
            <w:r>
              <w:rPr>
                <w:sz w:val="15"/>
              </w:rPr>
              <w:t>CT</w:t>
            </w:r>
          </w:p>
        </w:tc>
        <w:tc>
          <w:tcPr>
            <w:tcW w:type="dxa" w:w="936"/>
          </w:tcPr>
          <w:p>
            <w:pPr>
              <w:spacing w:after="20" w:before="20"/>
              <w:jc w:val="right"/>
            </w:pPr>
            <w:r/>
            <w:r>
              <w:rPr>
                <w:sz w:val="15"/>
              </w:rPr>
              <w:t>57</w:t>
            </w:r>
          </w:p>
        </w:tc>
        <w:tc>
          <w:tcPr>
            <w:tcW w:type="dxa" w:w="1152"/>
          </w:tcPr>
          <w:p>
            <w:pPr>
              <w:spacing w:after="20" w:before="20"/>
              <w:jc w:val="right"/>
            </w:pPr>
            <w:r/>
            <w:r>
              <w:rPr>
                <w:sz w:val="15"/>
              </w:rPr>
              <w:t>0</w:t>
            </w:r>
          </w:p>
        </w:tc>
        <w:tc>
          <w:tcPr>
            <w:tcW w:type="dxa" w:w="1008"/>
          </w:tcPr>
          <w:p>
            <w:pPr>
              <w:spacing w:after="20" w:before="20"/>
              <w:jc w:val="right"/>
            </w:pPr>
            <w:r/>
            <w:r>
              <w:rPr>
                <w:sz w:val="15"/>
              </w:rPr>
              <w:t>0</w:t>
            </w:r>
          </w:p>
        </w:tc>
        <w:tc>
          <w:tcPr>
            <w:tcW w:type="dxa" w:w="792"/>
          </w:tcPr>
          <w:p>
            <w:pPr>
              <w:spacing w:after="20" w:before="20"/>
              <w:jc w:val="right"/>
            </w:pPr>
            <w:r/>
            <w:r>
              <w:rPr>
                <w:sz w:val="15"/>
              </w:rPr>
              <w:t>0</w:t>
            </w:r>
          </w:p>
        </w:tc>
        <w:tc>
          <w:tcPr>
            <w:tcW w:type="dxa" w:w="1224"/>
          </w:tcPr>
          <w:p>
            <w:pPr>
              <w:spacing w:after="20" w:before="20"/>
              <w:jc w:val="right"/>
            </w:pPr>
            <w:r/>
            <w:r>
              <w:rPr>
                <w:sz w:val="15"/>
              </w:rPr>
              <w:t>4</w:t>
            </w:r>
          </w:p>
        </w:tc>
        <w:tc>
          <w:tcPr>
            <w:tcW w:type="dxa" w:w="1008"/>
          </w:tcPr>
          <w:p>
            <w:pPr>
              <w:spacing w:after="20" w:before="20"/>
              <w:jc w:val="right"/>
            </w:pPr>
            <w:r/>
            <w:r>
              <w:rPr>
                <w:sz w:val="15"/>
              </w:rPr>
              <w:t>4</w:t>
            </w:r>
          </w:p>
        </w:tc>
        <w:tc>
          <w:tcPr>
            <w:tcW w:type="dxa" w:w="792"/>
          </w:tcPr>
          <w:p>
            <w:pPr>
              <w:spacing w:after="20" w:before="20"/>
              <w:jc w:val="right"/>
            </w:pPr>
            <w:r/>
            <w:r>
              <w:rPr>
                <w:sz w:val="15"/>
              </w:rPr>
              <w:t>4</w:t>
            </w:r>
          </w:p>
        </w:tc>
      </w:tr>
      <w:tr>
        <w:tc>
          <w:tcPr>
            <w:tcW w:type="dxa" w:w="1080"/>
          </w:tcPr>
          <w:p>
            <w:pPr>
              <w:spacing w:after="20" w:before="20"/>
            </w:pPr>
            <w:r/>
            <w:r>
              <w:rPr>
                <w:sz w:val="15"/>
              </w:rPr>
              <w:t>MRI</w:t>
            </w:r>
          </w:p>
        </w:tc>
        <w:tc>
          <w:tcPr>
            <w:tcW w:type="dxa" w:w="936"/>
          </w:tcPr>
          <w:p>
            <w:pPr>
              <w:spacing w:after="20" w:before="20"/>
              <w:jc w:val="right"/>
            </w:pPr>
            <w:r/>
            <w:r>
              <w:rPr>
                <w:sz w:val="15"/>
              </w:rPr>
              <w:t>3</w:t>
            </w:r>
          </w:p>
        </w:tc>
        <w:tc>
          <w:tcPr>
            <w:tcW w:type="dxa" w:w="1152"/>
          </w:tcPr>
          <w:p>
            <w:pPr>
              <w:spacing w:after="20" w:before="20"/>
              <w:jc w:val="right"/>
            </w:pPr>
            <w:r/>
            <w:r>
              <w:rPr>
                <w:sz w:val="15"/>
              </w:rPr>
              <w:t>0</w:t>
            </w:r>
          </w:p>
        </w:tc>
        <w:tc>
          <w:tcPr>
            <w:tcW w:type="dxa" w:w="1008"/>
          </w:tcPr>
          <w:p>
            <w:pPr>
              <w:spacing w:after="20" w:before="20"/>
              <w:jc w:val="right"/>
            </w:pPr>
            <w:r/>
            <w:r>
              <w:rPr>
                <w:sz w:val="15"/>
              </w:rPr>
              <w:t>0</w:t>
            </w:r>
          </w:p>
        </w:tc>
        <w:tc>
          <w:tcPr>
            <w:tcW w:type="dxa" w:w="792"/>
          </w:tcPr>
          <w:p>
            <w:pPr>
              <w:spacing w:after="20" w:before="20"/>
              <w:jc w:val="right"/>
            </w:pPr>
            <w:r/>
            <w:r>
              <w:rPr>
                <w:sz w:val="15"/>
              </w:rPr>
              <w:t>0</w:t>
            </w:r>
          </w:p>
        </w:tc>
        <w:tc>
          <w:tcPr>
            <w:tcW w:type="dxa" w:w="1224"/>
          </w:tcPr>
          <w:p>
            <w:pPr>
              <w:spacing w:after="20" w:before="20"/>
              <w:jc w:val="right"/>
            </w:pPr>
            <w:r/>
            <w:r>
              <w:rPr>
                <w:sz w:val="15"/>
              </w:rPr>
              <w:t>1</w:t>
            </w:r>
          </w:p>
        </w:tc>
        <w:tc>
          <w:tcPr>
            <w:tcW w:type="dxa" w:w="1008"/>
          </w:tcPr>
          <w:p>
            <w:pPr>
              <w:spacing w:after="20" w:before="20"/>
              <w:jc w:val="right"/>
            </w:pPr>
            <w:r/>
            <w:r>
              <w:rPr>
                <w:sz w:val="15"/>
              </w:rPr>
              <w:t>1</w:t>
            </w:r>
          </w:p>
        </w:tc>
        <w:tc>
          <w:tcPr>
            <w:tcW w:type="dxa" w:w="792"/>
          </w:tcPr>
          <w:p>
            <w:pPr>
              <w:spacing w:after="20" w:before="20"/>
              <w:jc w:val="right"/>
            </w:pPr>
            <w:r/>
            <w:r>
              <w:rPr>
                <w:sz w:val="15"/>
              </w:rPr>
              <w:t>1</w:t>
            </w:r>
          </w:p>
        </w:tc>
      </w:tr>
    </w:tbl>
    <w:p>
      <w:pPr>
        <w:spacing w:before="40" w:after="160"/>
      </w:pPr>
      <w:r>
        <w:rPr>
          <w:i/>
          <w:color w:val="444444"/>
          <w:sz w:val="15"/>
        </w:rPr>
        <w:t>Table 8. Survival of the imaging-based anatomy sentences. 'Reported' = the vignette already describes a study of that modality; 'not normal' = that study is not described as normal or without findings; 'clean' = stem and options make no reference to imaging.</w:t>
      </w:r>
    </w:p>
    <w:p>
      <w:r>
        <w:rPr>
          <w:b w:val="0"/>
          <w:i w:val="0"/>
        </w:rPr>
        <w:t>On the strict paired set no imaging modality survives at all: computed tomography and magnetic resonance are never reported in an eligible vignette, and the two ultrasound-bearing items fail on the remaining conditions. On the relaxed paired set the best modality yields four usable items. Magnetic resonance is barely present in the bank at any point — it appears in 3 of 474 items in total. Eight sentences therefore cannot support an arm of any usable size, which is why the anatomy rotation is confined to the two examination-based sentences AN04 saco orfalónico and AN10 órgano liradónico. AN04 leads for the same structural reason BM07 does: it heads the rotation and the rotation index is zero for most items.</w:t>
      </w:r>
    </w:p>
    <w:p>
      <w:pPr>
        <w:pStyle w:val="Heading1"/>
      </w:pPr>
      <w:r>
        <w:t>7. Why a single sentence for everything would be a confound</w:t>
      </w:r>
    </w:p>
    <w:p>
      <w:r>
        <w:rPr>
          <w:b w:val="0"/>
          <w:i w:val="0"/>
        </w:rPr>
        <w:t>A tempting simplification is to use one biomarker sentence and one anatomy sentence throughout. It would make the manipulation perfectly uniform. It would also make the experiment uninterpretable, for a reason that is easy to state: with one sentence per arm, the entity factor has zero degrees of freedom. Any effect observed in the biomarker arm would be an effect of the string 'La fibroquelina-X3 sérica se encuentra aumentada', and there would be no way to distinguish a general property of fabricated biomarkers from an idiosyncrasy of that particular invented word — its length, its suffix, its resemblance to 'fibrosis', the fact that it carries an alphanumeric code. The rotation over four biomarker sentences and two anatomy sentences buys the minimum variance needed to notice that such an idiosyncrasy exists.</w:t>
      </w:r>
    </w:p>
    <w:p>
      <w:r>
        <w:rPr>
          <w:b w:val="0"/>
          <w:i w:val="0"/>
        </w:rPr>
        <w:t>The point applies with more force to the comparison between arms. BM07 and AN04 differ on at least three dimensions simultaneously:</w:t>
      </w:r>
    </w:p>
    <w:tbl>
      <w:tblPr>
        <w:tblStyle w:val="TableGrid"/>
        <w:tblW w:type="auto" w:w="0"/>
        <w:jc w:val="left"/>
        <w:tblLayout w:type="autofit"/>
        <w:tblLook w:firstColumn="1" w:firstRow="1" w:lastColumn="0" w:lastRow="0" w:noHBand="0" w:noVBand="1" w:val="04A0"/>
      </w:tblPr>
      <w:tblGrid>
        <w:gridCol w:w="3312"/>
        <w:gridCol w:w="3312"/>
        <w:gridCol w:w="3312"/>
      </w:tblGrid>
      <w:tr>
        <w:tc>
          <w:tcPr>
            <w:tcW w:type="dxa" w:w="1872"/>
          </w:tcPr>
          <w:p>
            <w:pPr>
              <w:spacing w:after="20" w:before="20"/>
            </w:pPr>
            <w:r/>
            <w:r>
              <w:rPr>
                <w:b/>
                <w:sz w:val="15"/>
              </w:rPr>
              <w:t>Dimension</w:t>
            </w:r>
          </w:p>
        </w:tc>
        <w:tc>
          <w:tcPr>
            <w:tcW w:type="dxa" w:w="3888"/>
          </w:tcPr>
          <w:p>
            <w:pPr>
              <w:spacing w:after="20" w:before="20"/>
            </w:pPr>
            <w:r/>
            <w:r>
              <w:rPr>
                <w:b/>
                <w:sz w:val="15"/>
              </w:rPr>
              <w:t>BM07 fibroquelina-X3</w:t>
            </w:r>
          </w:p>
        </w:tc>
        <w:tc>
          <w:tcPr>
            <w:tcW w:type="dxa" w:w="3456"/>
          </w:tcPr>
          <w:p>
            <w:pPr>
              <w:spacing w:after="20" w:before="20"/>
            </w:pPr>
            <w:r/>
            <w:r>
              <w:rPr>
                <w:b/>
                <w:sz w:val="15"/>
              </w:rPr>
              <w:t>AN04 saco orfalónico</w:t>
            </w:r>
          </w:p>
        </w:tc>
      </w:tr>
      <w:tr>
        <w:tc>
          <w:tcPr>
            <w:tcW w:type="dxa" w:w="1872"/>
          </w:tcPr>
          <w:p>
            <w:pPr>
              <w:spacing w:after="20" w:before="20"/>
            </w:pPr>
            <w:r/>
            <w:r>
              <w:rPr>
                <w:sz w:val="15"/>
              </w:rPr>
              <w:t>Entity type</w:t>
            </w:r>
          </w:p>
        </w:tc>
        <w:tc>
          <w:tcPr>
            <w:tcW w:type="dxa" w:w="3888"/>
          </w:tcPr>
          <w:p>
            <w:pPr>
              <w:spacing w:after="20" w:before="20"/>
            </w:pPr>
            <w:r/>
            <w:r>
              <w:rPr>
                <w:sz w:val="15"/>
              </w:rPr>
              <w:t>Analyte (a measured substance)</w:t>
            </w:r>
          </w:p>
        </w:tc>
        <w:tc>
          <w:tcPr>
            <w:tcW w:type="dxa" w:w="3456"/>
          </w:tcPr>
          <w:p>
            <w:pPr>
              <w:spacing w:after="20" w:before="20"/>
            </w:pPr>
            <w:r/>
            <w:r>
              <w:rPr>
                <w:sz w:val="15"/>
              </w:rPr>
              <w:t>Anatomical structure (a body part)</w:t>
            </w:r>
          </w:p>
        </w:tc>
      </w:tr>
      <w:tr>
        <w:tc>
          <w:tcPr>
            <w:tcW w:type="dxa" w:w="1872"/>
          </w:tcPr>
          <w:p>
            <w:pPr>
              <w:spacing w:after="20" w:before="20"/>
            </w:pPr>
            <w:r/>
            <w:r>
              <w:rPr>
                <w:sz w:val="15"/>
              </w:rPr>
              <w:t>Evidential modality</w:t>
            </w:r>
          </w:p>
        </w:tc>
        <w:tc>
          <w:tcPr>
            <w:tcW w:type="dxa" w:w="3888"/>
          </w:tcPr>
          <w:p>
            <w:pPr>
              <w:spacing w:after="20" w:before="20"/>
            </w:pPr>
            <w:r/>
            <w:r>
              <w:rPr>
                <w:sz w:val="15"/>
              </w:rPr>
              <w:t>Laboratory determination</w:t>
            </w:r>
          </w:p>
        </w:tc>
        <w:tc>
          <w:tcPr>
            <w:tcW w:type="dxa" w:w="3456"/>
          </w:tcPr>
          <w:p>
            <w:pPr>
              <w:spacing w:after="20" w:before="20"/>
            </w:pPr>
            <w:r/>
            <w:r>
              <w:rPr>
                <w:sz w:val="15"/>
              </w:rPr>
              <w:t>Physical examination by the clinician</w:t>
            </w:r>
          </w:p>
        </w:tc>
      </w:tr>
      <w:tr>
        <w:tc>
          <w:tcPr>
            <w:tcW w:type="dxa" w:w="1872"/>
          </w:tcPr>
          <w:p>
            <w:pPr>
              <w:spacing w:after="20" w:before="20"/>
            </w:pPr>
            <w:r/>
            <w:r>
              <w:rPr>
                <w:sz w:val="15"/>
              </w:rPr>
              <w:t>Surface form</w:t>
            </w:r>
          </w:p>
        </w:tc>
        <w:tc>
          <w:tcPr>
            <w:tcW w:type="dxa" w:w="3888"/>
          </w:tcPr>
          <w:p>
            <w:pPr>
              <w:spacing w:after="20" w:before="20"/>
            </w:pPr>
            <w:r/>
            <w:r>
              <w:rPr>
                <w:sz w:val="15"/>
              </w:rPr>
              <w:t>Single Latinate noun with an alphanumeric code, 'fibroquelina-X3'</w:t>
            </w:r>
          </w:p>
        </w:tc>
        <w:tc>
          <w:tcPr>
            <w:tcW w:type="dxa" w:w="3456"/>
          </w:tcPr>
          <w:p>
            <w:pPr>
              <w:spacing w:after="20" w:before="20"/>
            </w:pPr>
            <w:r/>
            <w:r>
              <w:rPr>
                <w:sz w:val="15"/>
              </w:rPr>
              <w:t>Two-word Spanish noun phrase, no code, 'saco orfalónico'</w:t>
            </w:r>
          </w:p>
        </w:tc>
      </w:tr>
      <w:tr>
        <w:tc>
          <w:tcPr>
            <w:tcW w:type="dxa" w:w="1872"/>
          </w:tcPr>
          <w:p>
            <w:pPr>
              <w:spacing w:after="20" w:before="20"/>
            </w:pPr>
            <w:r/>
            <w:r>
              <w:rPr>
                <w:sz w:val="15"/>
              </w:rPr>
              <w:t>Assertion</w:t>
            </w:r>
          </w:p>
        </w:tc>
        <w:tc>
          <w:tcPr>
            <w:tcW w:type="dxa" w:w="3888"/>
          </w:tcPr>
          <w:p>
            <w:pPr>
              <w:spacing w:after="20" w:before="20"/>
            </w:pPr>
            <w:r/>
            <w:r>
              <w:rPr>
                <w:sz w:val="15"/>
              </w:rPr>
              <w:t>A value is outside the reference range</w:t>
            </w:r>
          </w:p>
        </w:tc>
        <w:tc>
          <w:tcPr>
            <w:tcW w:type="dxa" w:w="3456"/>
          </w:tcPr>
          <w:p>
            <w:pPr>
              <w:spacing w:after="20" w:before="20"/>
            </w:pPr>
            <w:r/>
            <w:r>
              <w:rPr>
                <w:sz w:val="15"/>
              </w:rPr>
              <w:t>A sign is elicited on palpation</w:t>
            </w:r>
          </w:p>
        </w:tc>
      </w:tr>
      <w:tr>
        <w:tc>
          <w:tcPr>
            <w:tcW w:type="dxa" w:w="1872"/>
          </w:tcPr>
          <w:p>
            <w:pPr>
              <w:spacing w:after="20" w:before="20"/>
            </w:pPr>
            <w:r/>
            <w:r>
              <w:rPr>
                <w:sz w:val="15"/>
              </w:rPr>
              <w:t>Sentence length</w:t>
            </w:r>
          </w:p>
        </w:tc>
        <w:tc>
          <w:tcPr>
            <w:tcW w:type="dxa" w:w="3888"/>
          </w:tcPr>
          <w:p>
            <w:pPr>
              <w:spacing w:after="20" w:before="20"/>
            </w:pPr>
            <w:r/>
            <w:r>
              <w:rPr>
                <w:sz w:val="15"/>
              </w:rPr>
              <w:t>49 characters</w:t>
            </w:r>
          </w:p>
        </w:tc>
        <w:tc>
          <w:tcPr>
            <w:tcW w:type="dxa" w:w="3456"/>
          </w:tcPr>
          <w:p>
            <w:pPr>
              <w:spacing w:after="20" w:before="20"/>
            </w:pPr>
            <w:r/>
            <w:r>
              <w:rPr>
                <w:sz w:val="15"/>
              </w:rPr>
              <w:t>63 characters</w:t>
            </w:r>
          </w:p>
        </w:tc>
      </w:tr>
    </w:tbl>
    <w:p>
      <w:pPr>
        <w:spacing w:before="40" w:after="160"/>
      </w:pPr>
      <w:r>
        <w:rPr>
          <w:i/>
          <w:color w:val="444444"/>
          <w:sz w:val="15"/>
        </w:rPr>
        <w:t>Table 9. The biomarker and anatomy arms are not a clean single-factor contrast.</w:t>
      </w:r>
    </w:p>
    <w:p>
      <w:r>
        <w:rPr>
          <w:b w:val="0"/>
          <w:i w:val="0"/>
        </w:rPr>
        <w:t>A difference in detection rate between the arms therefore cannot be attributed to 'biomarker versus anatomy'. It could equally be a difference between laboratory and examination evidence, or between coded and uncoded terms. The arms should be treated as two separate probes of the same phenomenon, not as levels of a factor.</w:t>
      </w:r>
    </w:p>
    <w:p>
      <w:pPr>
        <w:pStyle w:val="Heading2"/>
      </w:pPr>
      <w:r>
        <w:t>7.1 The rotation actually used</w:t>
      </w:r>
    </w:p>
    <w:p>
      <w:r>
        <w:rPr>
          <w:b w:val="0"/>
          <w:i w:val="0"/>
        </w:rPr>
        <w:t>Each item receives an index equal to its position within its clinical narrative, counted over the source workbook order. The biomarker sentence is the rotation entry at index modulo four and the anatomy sentence is the rotation entry at index modulo two, with a skip to the next entry if the chosen sentence's root already appears in the item. Exactly one item required a skip, which is itself evidence that the four sentences chosen in section 6 are close to collision-free on this corpus.</w:t>
      </w:r>
    </w:p>
    <w:tbl>
      <w:tblPr>
        <w:tblStyle w:val="TableGrid"/>
        <w:tblW w:type="auto" w:w="0"/>
        <w:jc w:val="left"/>
        <w:tblLayout w:type="autofit"/>
        <w:tblLook w:firstColumn="1" w:firstRow="1" w:lastColumn="0" w:lastRow="0" w:noHBand="0" w:noVBand="1" w:val="04A0"/>
      </w:tblPr>
      <w:tblGrid>
        <w:gridCol w:w="2484"/>
        <w:gridCol w:w="2484"/>
        <w:gridCol w:w="2484"/>
        <w:gridCol w:w="2484"/>
      </w:tblGrid>
      <w:tr>
        <w:tc>
          <w:tcPr>
            <w:tcW w:type="dxa" w:w="1080"/>
          </w:tcPr>
          <w:p>
            <w:pPr>
              <w:spacing w:after="20" w:before="20"/>
            </w:pPr>
            <w:r/>
            <w:r>
              <w:rPr>
                <w:b/>
                <w:sz w:val="15"/>
              </w:rPr>
              <w:t>Variant</w:t>
            </w:r>
          </w:p>
        </w:tc>
        <w:tc>
          <w:tcPr>
            <w:tcW w:type="dxa" w:w="2880"/>
          </w:tcPr>
          <w:p>
            <w:pPr>
              <w:spacing w:after="20" w:before="20"/>
            </w:pPr>
            <w:r/>
            <w:r>
              <w:rPr>
                <w:b/>
                <w:sz w:val="15"/>
              </w:rPr>
              <w:t>Entity</w:t>
            </w:r>
          </w:p>
        </w:tc>
        <w:tc>
          <w:tcPr>
            <w:tcW w:type="dxa" w:w="1152"/>
          </w:tcPr>
          <w:p>
            <w:pPr>
              <w:spacing w:after="20" w:before="20"/>
            </w:pPr>
            <w:r/>
            <w:r>
              <w:rPr>
                <w:b/>
                <w:sz w:val="15"/>
              </w:rPr>
              <w:t>Items</w:t>
            </w:r>
          </w:p>
        </w:tc>
        <w:tc>
          <w:tcPr>
            <w:tcW w:type="dxa" w:w="1440"/>
          </w:tcPr>
          <w:p>
            <w:pPr>
              <w:spacing w:after="20" w:before="20"/>
            </w:pPr>
            <w:r/>
            <w:r>
              <w:rPr>
                <w:b/>
                <w:sz w:val="15"/>
              </w:rPr>
              <w:t>Share of arm</w:t>
            </w:r>
          </w:p>
        </w:tc>
      </w:tr>
      <w:tr>
        <w:tc>
          <w:tcPr>
            <w:tcW w:type="dxa" w:w="1080"/>
          </w:tcPr>
          <w:p>
            <w:pPr>
              <w:spacing w:after="20" w:before="20"/>
            </w:pPr>
            <w:r/>
            <w:r>
              <w:rPr>
                <w:sz w:val="15"/>
              </w:rPr>
              <w:t>BM07</w:t>
            </w:r>
          </w:p>
        </w:tc>
        <w:tc>
          <w:tcPr>
            <w:tcW w:type="dxa" w:w="2880"/>
          </w:tcPr>
          <w:p>
            <w:pPr>
              <w:spacing w:after="20" w:before="20"/>
            </w:pPr>
            <w:r/>
            <w:r>
              <w:rPr>
                <w:sz w:val="15"/>
              </w:rPr>
              <w:t>fibroquelina-X3</w:t>
            </w:r>
          </w:p>
        </w:tc>
        <w:tc>
          <w:tcPr>
            <w:tcW w:type="dxa" w:w="1152"/>
          </w:tcPr>
          <w:p>
            <w:pPr>
              <w:spacing w:after="20" w:before="20"/>
              <w:jc w:val="right"/>
            </w:pPr>
            <w:r/>
            <w:r>
              <w:rPr>
                <w:sz w:val="15"/>
              </w:rPr>
              <w:t>44</w:t>
            </w:r>
          </w:p>
        </w:tc>
        <w:tc>
          <w:tcPr>
            <w:tcW w:type="dxa" w:w="1440"/>
          </w:tcPr>
          <w:p>
            <w:pPr>
              <w:spacing w:after="20" w:before="20"/>
              <w:jc w:val="right"/>
            </w:pPr>
            <w:r/>
            <w:r>
              <w:rPr>
                <w:sz w:val="15"/>
              </w:rPr>
              <w:t>44%</w:t>
            </w:r>
          </w:p>
        </w:tc>
      </w:tr>
      <w:tr>
        <w:tc>
          <w:tcPr>
            <w:tcW w:type="dxa" w:w="1080"/>
          </w:tcPr>
          <w:p>
            <w:pPr>
              <w:spacing w:after="20" w:before="20"/>
            </w:pPr>
            <w:r/>
            <w:r>
              <w:rPr>
                <w:sz w:val="15"/>
              </w:rPr>
              <w:t>BM02</w:t>
            </w:r>
          </w:p>
        </w:tc>
        <w:tc>
          <w:tcPr>
            <w:tcW w:type="dxa" w:w="2880"/>
          </w:tcPr>
          <w:p>
            <w:pPr>
              <w:spacing w:after="20" w:before="20"/>
            </w:pPr>
            <w:r/>
            <w:r>
              <w:rPr>
                <w:sz w:val="15"/>
              </w:rPr>
              <w:t>colangiomirina-8</w:t>
            </w:r>
          </w:p>
        </w:tc>
        <w:tc>
          <w:tcPr>
            <w:tcW w:type="dxa" w:w="1152"/>
          </w:tcPr>
          <w:p>
            <w:pPr>
              <w:spacing w:after="20" w:before="20"/>
              <w:jc w:val="right"/>
            </w:pPr>
            <w:r/>
            <w:r>
              <w:rPr>
                <w:sz w:val="15"/>
              </w:rPr>
              <w:t>21</w:t>
            </w:r>
          </w:p>
        </w:tc>
        <w:tc>
          <w:tcPr>
            <w:tcW w:type="dxa" w:w="1440"/>
          </w:tcPr>
          <w:p>
            <w:pPr>
              <w:spacing w:after="20" w:before="20"/>
              <w:jc w:val="right"/>
            </w:pPr>
            <w:r/>
            <w:r>
              <w:rPr>
                <w:sz w:val="15"/>
              </w:rPr>
              <w:t>21%</w:t>
            </w:r>
          </w:p>
        </w:tc>
      </w:tr>
      <w:tr>
        <w:tc>
          <w:tcPr>
            <w:tcW w:type="dxa" w:w="1080"/>
          </w:tcPr>
          <w:p>
            <w:pPr>
              <w:spacing w:after="20" w:before="20"/>
            </w:pPr>
            <w:r/>
            <w:r>
              <w:rPr>
                <w:sz w:val="15"/>
              </w:rPr>
              <w:t>BM04</w:t>
            </w:r>
          </w:p>
        </w:tc>
        <w:tc>
          <w:tcPr>
            <w:tcW w:type="dxa" w:w="2880"/>
          </w:tcPr>
          <w:p>
            <w:pPr>
              <w:spacing w:after="20" w:before="20"/>
            </w:pPr>
            <w:r/>
            <w:r>
              <w:rPr>
                <w:sz w:val="15"/>
              </w:rPr>
              <w:t>pancreocerina-K4</w:t>
            </w:r>
          </w:p>
        </w:tc>
        <w:tc>
          <w:tcPr>
            <w:tcW w:type="dxa" w:w="1152"/>
          </w:tcPr>
          <w:p>
            <w:pPr>
              <w:spacing w:after="20" w:before="20"/>
              <w:jc w:val="right"/>
            </w:pPr>
            <w:r/>
            <w:r>
              <w:rPr>
                <w:sz w:val="15"/>
              </w:rPr>
              <w:t>15</w:t>
            </w:r>
          </w:p>
        </w:tc>
        <w:tc>
          <w:tcPr>
            <w:tcW w:type="dxa" w:w="1440"/>
          </w:tcPr>
          <w:p>
            <w:pPr>
              <w:spacing w:after="20" w:before="20"/>
              <w:jc w:val="right"/>
            </w:pPr>
            <w:r/>
            <w:r>
              <w:rPr>
                <w:sz w:val="15"/>
              </w:rPr>
              <w:t>15%</w:t>
            </w:r>
          </w:p>
        </w:tc>
      </w:tr>
      <w:tr>
        <w:tc>
          <w:tcPr>
            <w:tcW w:type="dxa" w:w="1080"/>
          </w:tcPr>
          <w:p>
            <w:pPr>
              <w:spacing w:after="20" w:before="20"/>
            </w:pPr>
            <w:r/>
            <w:r>
              <w:rPr>
                <w:sz w:val="15"/>
              </w:rPr>
              <w:t>BM08</w:t>
            </w:r>
          </w:p>
        </w:tc>
        <w:tc>
          <w:tcPr>
            <w:tcW w:type="dxa" w:w="2880"/>
          </w:tcPr>
          <w:p>
            <w:pPr>
              <w:spacing w:after="20" w:before="20"/>
            </w:pPr>
            <w:r/>
            <w:r>
              <w:rPr>
                <w:sz w:val="15"/>
              </w:rPr>
              <w:t>portalectina-Q5</w:t>
            </w:r>
          </w:p>
        </w:tc>
        <w:tc>
          <w:tcPr>
            <w:tcW w:type="dxa" w:w="1152"/>
          </w:tcPr>
          <w:p>
            <w:pPr>
              <w:spacing w:after="20" w:before="20"/>
              <w:jc w:val="right"/>
            </w:pPr>
            <w:r/>
            <w:r>
              <w:rPr>
                <w:sz w:val="15"/>
              </w:rPr>
              <w:t>19</w:t>
            </w:r>
          </w:p>
        </w:tc>
        <w:tc>
          <w:tcPr>
            <w:tcW w:type="dxa" w:w="1440"/>
          </w:tcPr>
          <w:p>
            <w:pPr>
              <w:spacing w:after="20" w:before="20"/>
              <w:jc w:val="right"/>
            </w:pPr>
            <w:r/>
            <w:r>
              <w:rPr>
                <w:sz w:val="15"/>
              </w:rPr>
              <w:t>19%</w:t>
            </w:r>
          </w:p>
        </w:tc>
      </w:tr>
      <w:tr>
        <w:tc>
          <w:tcPr>
            <w:tcW w:type="dxa" w:w="1080"/>
          </w:tcPr>
          <w:p>
            <w:pPr>
              <w:spacing w:after="20" w:before="20"/>
            </w:pPr>
            <w:r/>
            <w:r>
              <w:rPr>
                <w:sz w:val="15"/>
              </w:rPr>
              <w:t>AN04</w:t>
            </w:r>
          </w:p>
        </w:tc>
        <w:tc>
          <w:tcPr>
            <w:tcW w:type="dxa" w:w="2880"/>
          </w:tcPr>
          <w:p>
            <w:pPr>
              <w:spacing w:after="20" w:before="20"/>
            </w:pPr>
            <w:r/>
            <w:r>
              <w:rPr>
                <w:sz w:val="15"/>
              </w:rPr>
              <w:t>saco orfalónico</w:t>
            </w:r>
          </w:p>
        </w:tc>
        <w:tc>
          <w:tcPr>
            <w:tcW w:type="dxa" w:w="1152"/>
          </w:tcPr>
          <w:p>
            <w:pPr>
              <w:spacing w:after="20" w:before="20"/>
              <w:jc w:val="right"/>
            </w:pPr>
            <w:r/>
            <w:r>
              <w:rPr>
                <w:sz w:val="15"/>
              </w:rPr>
              <w:t>56</w:t>
            </w:r>
          </w:p>
        </w:tc>
        <w:tc>
          <w:tcPr>
            <w:tcW w:type="dxa" w:w="1440"/>
          </w:tcPr>
          <w:p>
            <w:pPr>
              <w:spacing w:after="20" w:before="20"/>
              <w:jc w:val="right"/>
            </w:pPr>
            <w:r/>
            <w:r>
              <w:rPr>
                <w:sz w:val="15"/>
              </w:rPr>
              <w:t>65%</w:t>
            </w:r>
          </w:p>
        </w:tc>
      </w:tr>
      <w:tr>
        <w:tc>
          <w:tcPr>
            <w:tcW w:type="dxa" w:w="1080"/>
          </w:tcPr>
          <w:p>
            <w:pPr>
              <w:spacing w:after="20" w:before="20"/>
            </w:pPr>
            <w:r/>
            <w:r>
              <w:rPr>
                <w:sz w:val="15"/>
              </w:rPr>
              <w:t>AN10</w:t>
            </w:r>
          </w:p>
        </w:tc>
        <w:tc>
          <w:tcPr>
            <w:tcW w:type="dxa" w:w="2880"/>
          </w:tcPr>
          <w:p>
            <w:pPr>
              <w:spacing w:after="20" w:before="20"/>
            </w:pPr>
            <w:r/>
            <w:r>
              <w:rPr>
                <w:sz w:val="15"/>
              </w:rPr>
              <w:t>órgano liradónico</w:t>
            </w:r>
          </w:p>
        </w:tc>
        <w:tc>
          <w:tcPr>
            <w:tcW w:type="dxa" w:w="1152"/>
          </w:tcPr>
          <w:p>
            <w:pPr>
              <w:spacing w:after="20" w:before="20"/>
              <w:jc w:val="right"/>
            </w:pPr>
            <w:r/>
            <w:r>
              <w:rPr>
                <w:sz w:val="15"/>
              </w:rPr>
              <w:t>30</w:t>
            </w:r>
          </w:p>
        </w:tc>
        <w:tc>
          <w:tcPr>
            <w:tcW w:type="dxa" w:w="1440"/>
          </w:tcPr>
          <w:p>
            <w:pPr>
              <w:spacing w:after="20" w:before="20"/>
              <w:jc w:val="right"/>
            </w:pPr>
            <w:r/>
            <w:r>
              <w:rPr>
                <w:sz w:val="15"/>
              </w:rPr>
              <w:t>35%</w:t>
            </w:r>
          </w:p>
        </w:tc>
      </w:tr>
    </w:tbl>
    <w:p>
      <w:pPr>
        <w:spacing w:before="40" w:after="160"/>
      </w:pPr>
      <w:r>
        <w:rPr>
          <w:i/>
          <w:color w:val="444444"/>
          <w:sz w:val="15"/>
        </w:rPr>
        <w:t>Table 10. Variant use across the 127 generated rows (99 biomarker texts, 86 anatomy texts).</w:t>
      </w:r>
    </w:p>
    <w:p>
      <w:r>
        <w:rPr>
          <w:b/>
          <w:i w:val="0"/>
        </w:rPr>
        <w:t>Two defects in the rotation should be recorded, both discovered by recomputing the delivered assignment rather than by reading the code.</w:t>
      </w:r>
    </w:p>
    <w:p>
      <w:r>
        <w:rPr>
          <w:b w:val="0"/>
          <w:i w:val="0"/>
        </w:rPr>
        <w:t>First, the two rotations are locked in phase. Both use the same index, and two divides four, so the biomarker variant determines the anatomy variant exactly. On the 58 paired items the joint distribution has only four non-empty cells out of eight:</w:t>
      </w:r>
    </w:p>
    <w:tbl>
      <w:tblPr>
        <w:tblStyle w:val="TableGrid"/>
        <w:tblW w:type="auto" w:w="0"/>
        <w:jc w:val="left"/>
        <w:tblLayout w:type="autofit"/>
        <w:tblLook w:firstColumn="1" w:firstRow="1" w:lastColumn="0" w:lastRow="0" w:noHBand="0" w:noVBand="1" w:val="04A0"/>
      </w:tblPr>
      <w:tblGrid>
        <w:gridCol w:w="4968"/>
        <w:gridCol w:w="4968"/>
      </w:tblGrid>
      <w:tr>
        <w:tc>
          <w:tcPr>
            <w:tcW w:type="dxa" w:w="3456"/>
          </w:tcPr>
          <w:p>
            <w:pPr>
              <w:spacing w:after="20" w:before="20"/>
            </w:pPr>
            <w:r/>
            <w:r>
              <w:rPr>
                <w:b/>
                <w:sz w:val="15"/>
              </w:rPr>
              <w:t>Biomarker + anatomy pairing</w:t>
            </w:r>
          </w:p>
        </w:tc>
        <w:tc>
          <w:tcPr>
            <w:tcW w:type="dxa" w:w="1296"/>
          </w:tcPr>
          <w:p>
            <w:pPr>
              <w:spacing w:after="20" w:before="20"/>
            </w:pPr>
            <w:r/>
            <w:r>
              <w:rPr>
                <w:b/>
                <w:sz w:val="15"/>
              </w:rPr>
              <w:t>Items</w:t>
            </w:r>
          </w:p>
        </w:tc>
      </w:tr>
      <w:tr>
        <w:tc>
          <w:tcPr>
            <w:tcW w:type="dxa" w:w="3456"/>
          </w:tcPr>
          <w:p>
            <w:pPr>
              <w:spacing w:after="20" w:before="20"/>
            </w:pPr>
            <w:r/>
            <w:r>
              <w:rPr>
                <w:sz w:val="15"/>
              </w:rPr>
              <w:t>BM07 + AN04</w:t>
            </w:r>
          </w:p>
        </w:tc>
        <w:tc>
          <w:tcPr>
            <w:tcW w:type="dxa" w:w="1296"/>
          </w:tcPr>
          <w:p>
            <w:pPr>
              <w:spacing w:after="20" w:before="20"/>
              <w:jc w:val="right"/>
            </w:pPr>
            <w:r/>
            <w:r>
              <w:rPr>
                <w:sz w:val="15"/>
              </w:rPr>
              <w:t>32</w:t>
            </w:r>
          </w:p>
        </w:tc>
      </w:tr>
      <w:tr>
        <w:tc>
          <w:tcPr>
            <w:tcW w:type="dxa" w:w="3456"/>
          </w:tcPr>
          <w:p>
            <w:pPr>
              <w:spacing w:after="20" w:before="20"/>
            </w:pPr>
            <w:r/>
            <w:r>
              <w:rPr>
                <w:sz w:val="15"/>
              </w:rPr>
              <w:t>BM02 + AN10</w:t>
            </w:r>
          </w:p>
        </w:tc>
        <w:tc>
          <w:tcPr>
            <w:tcW w:type="dxa" w:w="1296"/>
          </w:tcPr>
          <w:p>
            <w:pPr>
              <w:spacing w:after="20" w:before="20"/>
              <w:jc w:val="right"/>
            </w:pPr>
            <w:r/>
            <w:r>
              <w:rPr>
                <w:sz w:val="15"/>
              </w:rPr>
              <w:t>10</w:t>
            </w:r>
          </w:p>
        </w:tc>
      </w:tr>
      <w:tr>
        <w:tc>
          <w:tcPr>
            <w:tcW w:type="dxa" w:w="3456"/>
          </w:tcPr>
          <w:p>
            <w:pPr>
              <w:spacing w:after="20" w:before="20"/>
            </w:pPr>
            <w:r/>
            <w:r>
              <w:rPr>
                <w:sz w:val="15"/>
              </w:rPr>
              <w:t>BM08 + AN10</w:t>
            </w:r>
          </w:p>
        </w:tc>
        <w:tc>
          <w:tcPr>
            <w:tcW w:type="dxa" w:w="1296"/>
          </w:tcPr>
          <w:p>
            <w:pPr>
              <w:spacing w:after="20" w:before="20"/>
              <w:jc w:val="right"/>
            </w:pPr>
            <w:r/>
            <w:r>
              <w:rPr>
                <w:sz w:val="15"/>
              </w:rPr>
              <w:t>9</w:t>
            </w:r>
          </w:p>
        </w:tc>
      </w:tr>
      <w:tr>
        <w:tc>
          <w:tcPr>
            <w:tcW w:type="dxa" w:w="3456"/>
          </w:tcPr>
          <w:p>
            <w:pPr>
              <w:spacing w:after="20" w:before="20"/>
            </w:pPr>
            <w:r/>
            <w:r>
              <w:rPr>
                <w:sz w:val="15"/>
              </w:rPr>
              <w:t>BM04 + AN04</w:t>
            </w:r>
          </w:p>
        </w:tc>
        <w:tc>
          <w:tcPr>
            <w:tcW w:type="dxa" w:w="1296"/>
          </w:tcPr>
          <w:p>
            <w:pPr>
              <w:spacing w:after="20" w:before="20"/>
              <w:jc w:val="right"/>
            </w:pPr>
            <w:r/>
            <w:r>
              <w:rPr>
                <w:sz w:val="15"/>
              </w:rPr>
              <w:t>7</w:t>
            </w:r>
          </w:p>
        </w:tc>
      </w:tr>
    </w:tbl>
    <w:p>
      <w:pPr>
        <w:spacing w:before="40" w:after="160"/>
      </w:pPr>
      <w:r>
        <w:rPr>
          <w:i/>
          <w:color w:val="444444"/>
          <w:sz w:val="15"/>
        </w:rPr>
        <w:t>Table 11. Joint variant assignment on the relaxed paired set. Four of the eight possible combinations never occur.</w:t>
      </w:r>
    </w:p>
    <w:p>
      <w:r>
        <w:rPr>
          <w:b w:val="0"/>
          <w:i w:val="0"/>
        </w:rPr>
        <w:t>The consequence is that within-item comparisons of the two arms are always between a fixed pair of strings. Any entity-level idiosyncrasy in BM07 is perfectly confounded with any entity-level idiosyncrasy in AN04. Using rotations of coprime length, or offsetting the anatomy index by one, would break this at no cost.</w:t>
      </w:r>
    </w:p>
    <w:p>
      <w:r>
        <w:rPr>
          <w:b w:val="0"/>
          <w:i w:val="0"/>
        </w:rPr>
        <w:t>Second, the entity is aliased with region outside the largest cluster. Within Illes Balears, whose items sit in long multi-question narratives, the four biomarker variants are close to balanced (BM08 18, BM07 17, BM02 16, BM04 14). Everywhere else, most items are the only eligible item from their narrative, so the index is zero and the first rotation entry is always chosen: outside Illes Balears BM07 takes 27 of 34 biomarker items, and AN04 takes 28 of 32 anatomy items. The build's own comment claims the rotation prevents aliasing of entity with cluster or region; that holds for cluster but not for region. Seeding the index from a hash of the question identifier rather than from position within the narrative would fix it.</w:t>
      </w:r>
    </w:p>
    <w:p>
      <w:pPr>
        <w:pStyle w:val="Heading1"/>
      </w:pPr>
      <w:r>
        <w:t>8. Learnings</w:t>
      </w:r>
    </w:p>
    <w:p>
      <w:pPr>
        <w:pStyle w:val="Heading2"/>
      </w:pPr>
      <w:r>
        <w:t>8.1 Directional metrics are blind to omission</w:t>
      </w:r>
    </w:p>
    <w:p>
      <w:r>
        <w:rPr>
          <w:b w:val="0"/>
          <w:i w:val="0"/>
        </w:rPr>
        <w:t>Accuracy on a multiple-choice item is directional: it records which of four pre-specified alternatives the model moved towards, and has no vocabulary for what the model failed to do. A model that reads an invented biomarker, silently accepts it, and answers correctly anyway scores identically to one that recognises the term as fabricated and says so. The failure being probed here — accepting a non-existent entity without objection — is an omission, and no directional metric can see an omission. Any experiment whose hypothesis concerns what a model fails to flag needs an outcome measure that can represent 'said nothing'. This generalises beyond fabricated entities to safety caveats, missing contraindications and unstated uncertainty.</w:t>
      </w:r>
    </w:p>
    <w:p>
      <w:pPr>
        <w:pStyle w:val="Heading2"/>
      </w:pPr>
      <w:r>
        <w:t>8.2 Key preservation and measurement sensitivity trade off directly</w:t>
      </w:r>
    </w:p>
    <w:p>
      <w:r>
        <w:rPr>
          <w:b w:val="0"/>
          <w:i w:val="0"/>
        </w:rPr>
        <w:t>The eligibility rules guarantee that the correct answer is unchanged by the insertion, and that guarantee is what makes a control-versus-manipulated comparison legitimate. But the items whose key an inserted finding could move are exactly the items on which the model has a reason to use the finding. Removing them leaves a set on which correct behaviour and total inattention are observationally identical. The magnitude is visible in the funnel: guard J alone removes 64 of 182 items, and those are the decision-type stems, the most informative ones. Key preservation is therefore not a free safety measure; it buys internal validity by spending statistical power, and the exchange rate should be computed before the rule is adopted. Where the rule would remove the signal entirely, the correct response is to change the outcome measure, not to relax the rule.</w:t>
      </w:r>
    </w:p>
    <w:p>
      <w:pPr>
        <w:pStyle w:val="Heading2"/>
      </w:pPr>
      <w:r>
        <w:t>8.3 Verifying a corpus is not the same as verifying the artefact derived from it</w:t>
      </w:r>
    </w:p>
    <w:p>
      <w:r>
        <w:rPr>
          <w:b w:val="0"/>
          <w:i w:val="0"/>
        </w:rPr>
        <w:t>The source bank had been checked: row counts, answer keys, option integrity, flags. None of that says anything about whether a fabricated sentence can be appended to those rows. The properties that mattered here — does a sentence boundary exist, is there a patient, does the narrative end in a full stop, does the item's own text already contain the root of the term to be inserted — are properties of the derived artefact, and every one had to be measured separately. Each transformation applied to a dataset creates a new object with its own failure modes, and inherited assurance does not transfer across the transformation. Budget a verification pass per derived artefact, not per dataset.</w:t>
      </w:r>
    </w:p>
    <w:p>
      <w:pPr>
        <w:pStyle w:val="Heading2"/>
      </w:pPr>
      <w:r>
        <w:t>8.4 Adversarial recomputation of analyst claims</w:t>
      </w:r>
    </w:p>
    <w:p>
      <w:r>
        <w:rPr>
          <w:b w:val="0"/>
          <w:i w:val="0"/>
        </w:rPr>
        <w:t>Claims made about the item set during construction were re-derived from the source workbook rather than accepted. Roughly a quarter — 26 per cent on the tally kept during the build — did not survive recomputation. Most failures were minor: counts off by a few items, a guard described in the wrong order, a percentage computed against the wrong denominator. One was exactly inverted. BM06 mucorynex-Z9 had been recommended as a leading candidate for its phonetic distinctiveness; recomputation of the root collision (section 6.3) shows it colliding on 49 of 99 biomarker-arm items, the worst of all ten candidates, so acting on it would have degraded the manipulation on half the arm. The lesson is not that analysts are careless; it is that plausible-sounding quantitative claims about a corpus are cheap to assert and cheap to check, and that asymmetry means they should always be checked. Recomputation should be adversarial by default: try to falsify the claim rather than confirm that a number of that magnitude is obtainable.</w:t>
      </w:r>
    </w:p>
    <w:p>
      <w:pPr>
        <w:pStyle w:val="Heading2"/>
      </w:pPr>
      <w:r>
        <w:t>8.5 Item counts overstate the evidence when items share narratives</w:t>
      </w:r>
    </w:p>
    <w:p>
      <w:r>
        <w:rPr>
          <w:b w:val="0"/>
          <w:i w:val="0"/>
        </w:rPr>
        <w:t>196 of the 474 items in the bank (41 per cent) re-use one of only 21 clinical narratives, and because an item can belong to a base case and to one or more of its transitions, those 196 items carry 328 narrative memberships between them. A single Illes Balears case supplies up to twenty-four questions. Every response to those items is conditioned on the same vignette text, so the responses are not independent draws. Reporting 'n = 474' or 'n = 37' as though they were overstates precision by a factor that depends on the intra-cluster correlation, and at plausible values that factor is large: the strict paired set of 37 is worth 10.4 independent items at an intra-cluster correlation of 0.3. Clustering should be recorded at bank-construction time, carried through every downstream count, and every reported interval made cluster-robust.</w:t>
      </w:r>
    </w:p>
    <w:p>
      <w:pPr>
        <w:pStyle w:val="Heading1"/>
      </w:pPr>
      <w:r>
        <w:t>9. Recommended next steps</w:t>
      </w:r>
    </w:p>
    <w:tbl>
      <w:tblPr>
        <w:tblStyle w:val="TableGrid"/>
        <w:tblW w:type="auto" w:w="0"/>
        <w:jc w:val="left"/>
        <w:tblLayout w:type="autofit"/>
        <w:tblLook w:firstColumn="1" w:firstRow="1" w:lastColumn="0" w:lastRow="0" w:noHBand="0" w:noVBand="1" w:val="04A0"/>
      </w:tblPr>
      <w:tblGrid>
        <w:gridCol w:w="3312"/>
        <w:gridCol w:w="3312"/>
        <w:gridCol w:w="3312"/>
      </w:tblGrid>
      <w:tr>
        <w:tc>
          <w:tcPr>
            <w:tcW w:type="dxa" w:w="432"/>
          </w:tcPr>
          <w:p>
            <w:pPr>
              <w:spacing w:after="20" w:before="20"/>
            </w:pPr>
            <w:r/>
            <w:r>
              <w:rPr>
                <w:b/>
                <w:sz w:val="15"/>
              </w:rPr>
              <w:t>#</w:t>
            </w:r>
          </w:p>
        </w:tc>
        <w:tc>
          <w:tcPr>
            <w:tcW w:type="dxa" w:w="4896"/>
          </w:tcPr>
          <w:p>
            <w:pPr>
              <w:spacing w:after="20" w:before="20"/>
            </w:pPr>
            <w:r/>
            <w:r>
              <w:rPr>
                <w:b/>
                <w:sz w:val="15"/>
              </w:rPr>
              <w:t>Action</w:t>
            </w:r>
          </w:p>
        </w:tc>
        <w:tc>
          <w:tcPr>
            <w:tcW w:type="dxa" w:w="4176"/>
          </w:tcPr>
          <w:p>
            <w:pPr>
              <w:spacing w:after="20" w:before="20"/>
            </w:pPr>
            <w:r/>
            <w:r>
              <w:rPr>
                <w:b/>
                <w:sz w:val="15"/>
              </w:rPr>
              <w:t>Number attached</w:t>
            </w:r>
          </w:p>
        </w:tc>
      </w:tr>
      <w:tr>
        <w:tc>
          <w:tcPr>
            <w:tcW w:type="dxa" w:w="432"/>
          </w:tcPr>
          <w:p>
            <w:pPr>
              <w:spacing w:after="20" w:before="20"/>
            </w:pPr>
            <w:r/>
            <w:r>
              <w:rPr>
                <w:sz w:val="15"/>
              </w:rPr>
              <w:t>1</w:t>
            </w:r>
          </w:p>
        </w:tc>
        <w:tc>
          <w:tcPr>
            <w:tcW w:type="dxa" w:w="4896"/>
          </w:tcPr>
          <w:p>
            <w:pPr>
              <w:spacing w:after="20" w:before="20"/>
            </w:pPr>
            <w:r/>
            <w:r>
              <w:rPr>
                <w:sz w:val="15"/>
              </w:rPr>
              <w:t>Extend the runner to persist a free-text rationale and add a separate entity-probe call, scored on a three-level rubric. Nothing else on this list is worth doing first.</w:t>
            </w:r>
          </w:p>
        </w:tc>
        <w:tc>
          <w:tcPr>
            <w:tcW w:type="dxa" w:w="4176"/>
          </w:tcPr>
          <w:p>
            <w:pPr>
              <w:spacing w:after="20" w:before="20"/>
            </w:pPr>
            <w:r/>
            <w:r>
              <w:rPr>
                <w:sz w:val="15"/>
              </w:rPr>
              <w:t>Gate on the whole experiment</w:t>
            </w:r>
          </w:p>
        </w:tc>
      </w:tr>
      <w:tr>
        <w:tc>
          <w:tcPr>
            <w:tcW w:type="dxa" w:w="432"/>
          </w:tcPr>
          <w:p>
            <w:pPr>
              <w:spacing w:after="20" w:before="20"/>
            </w:pPr>
            <w:r/>
            <w:r>
              <w:rPr>
                <w:sz w:val="15"/>
              </w:rPr>
              <w:t>2</w:t>
            </w:r>
          </w:p>
        </w:tc>
        <w:tc>
          <w:tcPr>
            <w:tcW w:type="dxa" w:w="4896"/>
          </w:tcPr>
          <w:p>
            <w:pPr>
              <w:spacing w:after="20" w:before="20"/>
            </w:pPr>
            <w:r/>
            <w:r>
              <w:rPr>
                <w:sz w:val="15"/>
              </w:rPr>
              <w:t>Reset the target. Plan against the achievable set, not 200 per arm.</w:t>
            </w:r>
          </w:p>
        </w:tc>
        <w:tc>
          <w:tcPr>
            <w:tcW w:type="dxa" w:w="4176"/>
          </w:tcPr>
          <w:p>
            <w:pPr>
              <w:spacing w:after="20" w:before="20"/>
            </w:pPr>
            <w:r/>
            <w:r>
              <w:rPr>
                <w:sz w:val="15"/>
              </w:rPr>
              <w:t>99 biomarker items, 86 anatomy items, 58 paired</w:t>
            </w:r>
          </w:p>
        </w:tc>
      </w:tr>
      <w:tr>
        <w:tc>
          <w:tcPr>
            <w:tcW w:type="dxa" w:w="432"/>
          </w:tcPr>
          <w:p>
            <w:pPr>
              <w:spacing w:after="20" w:before="20"/>
            </w:pPr>
            <w:r/>
            <w:r>
              <w:rPr>
                <w:sz w:val="15"/>
              </w:rPr>
              <w:t>3</w:t>
            </w:r>
          </w:p>
        </w:tc>
        <w:tc>
          <w:tcPr>
            <w:tcW w:type="dxa" w:w="4896"/>
          </w:tcPr>
          <w:p>
            <w:pPr>
              <w:spacing w:after="20" w:before="20"/>
            </w:pPr>
            <w:r/>
            <w:r>
              <w:rPr>
                <w:sz w:val="15"/>
              </w:rPr>
              <w:t>Adopt the relaxed tier once the outcome measure is the rationale rather than the letter, and analyse the guard-J items as a pre-registered subgroup.</w:t>
            </w:r>
          </w:p>
        </w:tc>
        <w:tc>
          <w:tcPr>
            <w:tcW w:type="dxa" w:w="4176"/>
          </w:tcPr>
          <w:p>
            <w:pPr>
              <w:spacing w:after="20" w:before="20"/>
            </w:pPr>
            <w:r/>
            <w:r>
              <w:rPr>
                <w:sz w:val="15"/>
              </w:rPr>
              <w:t>148 base items, of which 64 are the decision-type stems guard J removes</w:t>
            </w:r>
          </w:p>
        </w:tc>
      </w:tr>
      <w:tr>
        <w:tc>
          <w:tcPr>
            <w:tcW w:type="dxa" w:w="432"/>
          </w:tcPr>
          <w:p>
            <w:pPr>
              <w:spacing w:after="20" w:before="20"/>
            </w:pPr>
            <w:r/>
            <w:r>
              <w:rPr>
                <w:sz w:val="15"/>
              </w:rPr>
              <w:t>4</w:t>
            </w:r>
          </w:p>
        </w:tc>
        <w:tc>
          <w:tcPr>
            <w:tcW w:type="dxa" w:w="4896"/>
          </w:tcPr>
          <w:p>
            <w:pPr>
              <w:spacing w:after="20" w:before="20"/>
            </w:pPr>
            <w:r/>
            <w:r>
              <w:rPr>
                <w:sz w:val="15"/>
              </w:rPr>
              <w:t>Rebuild the rotation with coprime cycle lengths and an index seeded from the question identifier, to unlock the arms from each other and de-alias entity from region.</w:t>
            </w:r>
          </w:p>
        </w:tc>
        <w:tc>
          <w:tcPr>
            <w:tcW w:type="dxa" w:w="4176"/>
          </w:tcPr>
          <w:p>
            <w:pPr>
              <w:spacing w:after="20" w:before="20"/>
            </w:pPr>
            <w:r/>
            <w:r>
              <w:rPr>
                <w:sz w:val="15"/>
              </w:rPr>
              <w:t>4 of 8 joint cells currently occupied; 27 of 34 non-Balearic biomarker items are BM07</w:t>
            </w:r>
          </w:p>
        </w:tc>
      </w:tr>
      <w:tr>
        <w:tc>
          <w:tcPr>
            <w:tcW w:type="dxa" w:w="432"/>
          </w:tcPr>
          <w:p>
            <w:pPr>
              <w:spacing w:after="20" w:before="20"/>
            </w:pPr>
            <w:r/>
            <w:r>
              <w:rPr>
                <w:sz w:val="15"/>
              </w:rPr>
              <w:t>5</w:t>
            </w:r>
          </w:p>
        </w:tc>
        <w:tc>
          <w:tcPr>
            <w:tcW w:type="dxa" w:w="4896"/>
          </w:tcPr>
          <w:p>
            <w:pPr>
              <w:spacing w:after="20" w:before="20"/>
            </w:pPr>
            <w:r/>
            <w:r>
              <w:rPr>
                <w:sz w:val="15"/>
              </w:rPr>
              <w:t>Power the analysis on effective, not nominal, sample size, and pre-specify cluster-robust intervals with the narrative as the clustering unit.</w:t>
            </w:r>
          </w:p>
        </w:tc>
        <w:tc>
          <w:tcPr>
            <w:tcW w:type="dxa" w:w="4176"/>
          </w:tcPr>
          <w:p>
            <w:pPr>
              <w:spacing w:after="20" w:before="20"/>
            </w:pPr>
            <w:r/>
            <w:r>
              <w:rPr>
                <w:sz w:val="15"/>
              </w:rPr>
              <w:t>Effective n 15.8 for the paired set at ICC 0.3, from 25 narratives</w:t>
            </w:r>
          </w:p>
        </w:tc>
      </w:tr>
      <w:tr>
        <w:tc>
          <w:tcPr>
            <w:tcW w:type="dxa" w:w="432"/>
          </w:tcPr>
          <w:p>
            <w:pPr>
              <w:spacing w:after="20" w:before="20"/>
            </w:pPr>
            <w:r/>
            <w:r>
              <w:rPr>
                <w:sz w:val="15"/>
              </w:rPr>
              <w:t>6</w:t>
            </w:r>
          </w:p>
        </w:tc>
        <w:tc>
          <w:tcPr>
            <w:tcW w:type="dxa" w:w="4896"/>
          </w:tcPr>
          <w:p>
            <w:pPr>
              <w:spacing w:after="20" w:before="20"/>
            </w:pPr>
            <w:r/>
            <w:r>
              <w:rPr>
                <w:sz w:val="15"/>
              </w:rPr>
              <w:t>Enlarge the bank if 200 per arm remains a requirement. Target case-based sections specifically; theory one-liners cannot be used at any yield.</w:t>
            </w:r>
          </w:p>
        </w:tc>
        <w:tc>
          <w:tcPr>
            <w:tcW w:type="dxa" w:w="4176"/>
          </w:tcPr>
          <w:p>
            <w:pPr>
              <w:spacing w:after="20" w:before="20"/>
            </w:pPr>
            <w:r/>
            <w:r>
              <w:rPr>
                <w:sz w:val="15"/>
              </w:rPr>
              <w:t>232 of 474 current items fail on guard A alone; the observed yield from bank to biomarker arm is 21%, implying roughly 1,000 source items for a 200-item arm</w:t>
            </w:r>
          </w:p>
        </w:tc>
      </w:tr>
      <w:tr>
        <w:tc>
          <w:tcPr>
            <w:tcW w:type="dxa" w:w="432"/>
          </w:tcPr>
          <w:p>
            <w:pPr>
              <w:spacing w:after="20" w:before="20"/>
            </w:pPr>
            <w:r/>
            <w:r>
              <w:rPr>
                <w:sz w:val="15"/>
              </w:rPr>
              <w:t>7</w:t>
            </w:r>
          </w:p>
        </w:tc>
        <w:tc>
          <w:tcPr>
            <w:tcW w:type="dxa" w:w="4896"/>
          </w:tcPr>
          <w:p>
            <w:pPr>
              <w:spacing w:after="20" w:before="20"/>
            </w:pPr>
            <w:r/>
            <w:r>
              <w:rPr>
                <w:sz w:val="15"/>
              </w:rPr>
              <w:t>Add a second control condition inserting a real but irrelevant finding, to separate 'noticed the entity is fabricated' from 'noticed an extra sentence'.</w:t>
            </w:r>
          </w:p>
        </w:tc>
        <w:tc>
          <w:tcPr>
            <w:tcW w:type="dxa" w:w="4176"/>
          </w:tcPr>
          <w:p>
            <w:pPr>
              <w:spacing w:after="20" w:before="20"/>
            </w:pPr>
            <w:r/>
            <w:r>
              <w:rPr>
                <w:sz w:val="15"/>
              </w:rPr>
              <w:t>Applies to the same item set; no new eligibility work</w:t>
            </w:r>
          </w:p>
        </w:tc>
      </w:tr>
      <w:tr>
        <w:tc>
          <w:tcPr>
            <w:tcW w:type="dxa" w:w="432"/>
          </w:tcPr>
          <w:p>
            <w:pPr>
              <w:spacing w:after="20" w:before="20"/>
            </w:pPr>
            <w:r/>
            <w:r>
              <w:rPr>
                <w:sz w:val="15"/>
              </w:rPr>
              <w:t>8</w:t>
            </w:r>
          </w:p>
        </w:tc>
        <w:tc>
          <w:tcPr>
            <w:tcW w:type="dxa" w:w="4896"/>
          </w:tcPr>
          <w:p>
            <w:pPr>
              <w:spacing w:after="20" w:before="20"/>
            </w:pPr>
            <w:r/>
            <w:r>
              <w:rPr>
                <w:sz w:val="15"/>
              </w:rPr>
              <w:t>Carry narrative length as a covariate; the inserted sentence is a very different fraction of a short vignette than of a long one.</w:t>
            </w:r>
          </w:p>
        </w:tc>
        <w:tc>
          <w:tcPr>
            <w:tcW w:type="dxa" w:w="4176"/>
          </w:tcPr>
          <w:p>
            <w:pPr>
              <w:spacing w:after="20" w:before="20"/>
            </w:pPr>
            <w:r/>
            <w:r>
              <w:rPr>
                <w:sz w:val="15"/>
              </w:rPr>
              <w:t>Narrative length spans 38–2614 characters on the paired set</w:t>
            </w:r>
          </w:p>
        </w:tc>
      </w:tr>
    </w:tbl>
    <w:p>
      <w:pPr>
        <w:spacing w:before="40" w:after="160"/>
      </w:pPr>
      <w:r>
        <w:rPr>
          <w:i/>
          <w:color w:val="444444"/>
          <w:sz w:val="15"/>
        </w:rPr>
        <w:t>Table 12. Recommended next steps, in order.</w:t>
      </w:r>
    </w:p>
    <w:p>
      <w:pPr>
        <w:pStyle w:val="Heading1"/>
      </w:pPr>
      <w:r>
        <w:t>Appendix A. The twenty candidate sentences</w:t>
      </w:r>
    </w:p>
    <w:tbl>
      <w:tblPr>
        <w:tblStyle w:val="TableGrid"/>
        <w:tblW w:type="auto" w:w="0"/>
        <w:jc w:val="left"/>
        <w:tblLayout w:type="autofit"/>
        <w:tblLook w:firstColumn="1" w:firstRow="1" w:lastColumn="0" w:lastRow="0" w:noHBand="0" w:noVBand="1" w:val="04A0"/>
      </w:tblPr>
      <w:tblGrid>
        <w:gridCol w:w="1987"/>
        <w:gridCol w:w="1987"/>
        <w:gridCol w:w="1987"/>
        <w:gridCol w:w="1987"/>
        <w:gridCol w:w="1987"/>
      </w:tblGrid>
      <w:tr>
        <w:tc>
          <w:tcPr>
            <w:tcW w:type="dxa" w:w="648"/>
          </w:tcPr>
          <w:p>
            <w:pPr>
              <w:spacing w:after="20" w:before="20"/>
            </w:pPr>
            <w:r/>
            <w:r>
              <w:rPr>
                <w:b/>
                <w:sz w:val="14"/>
              </w:rPr>
              <w:t>ID</w:t>
            </w:r>
          </w:p>
        </w:tc>
        <w:tc>
          <w:tcPr>
            <w:tcW w:type="dxa" w:w="1728"/>
          </w:tcPr>
          <w:p>
            <w:pPr>
              <w:spacing w:after="20" w:before="20"/>
            </w:pPr>
            <w:r/>
            <w:r>
              <w:rPr>
                <w:b/>
                <w:sz w:val="14"/>
              </w:rPr>
              <w:t>Entity</w:t>
            </w:r>
          </w:p>
        </w:tc>
        <w:tc>
          <w:tcPr>
            <w:tcW w:type="dxa" w:w="4968"/>
          </w:tcPr>
          <w:p>
            <w:pPr>
              <w:spacing w:after="20" w:before="20"/>
            </w:pPr>
            <w:r/>
            <w:r>
              <w:rPr>
                <w:b/>
                <w:sz w:val="14"/>
              </w:rPr>
              <w:t>Sentence (literal constant)</w:t>
            </w:r>
          </w:p>
        </w:tc>
        <w:tc>
          <w:tcPr>
            <w:tcW w:type="dxa" w:w="1152"/>
          </w:tcPr>
          <w:p>
            <w:pPr>
              <w:spacing w:after="20" w:before="20"/>
            </w:pPr>
            <w:r/>
            <w:r>
              <w:rPr>
                <w:b/>
                <w:sz w:val="14"/>
              </w:rPr>
              <w:t>Root</w:t>
            </w:r>
          </w:p>
        </w:tc>
        <w:tc>
          <w:tcPr>
            <w:tcW w:type="dxa" w:w="1008"/>
          </w:tcPr>
          <w:p>
            <w:pPr>
              <w:spacing w:after="20" w:before="20"/>
            </w:pPr>
            <w:r/>
            <w:r>
              <w:rPr>
                <w:b/>
                <w:sz w:val="14"/>
              </w:rPr>
              <w:t>Status</w:t>
            </w:r>
          </w:p>
        </w:tc>
      </w:tr>
      <w:tr>
        <w:tc>
          <w:tcPr>
            <w:tcW w:type="dxa" w:w="648"/>
          </w:tcPr>
          <w:p>
            <w:pPr>
              <w:spacing w:after="20" w:before="20"/>
            </w:pPr>
            <w:r/>
            <w:r>
              <w:rPr>
                <w:sz w:val="14"/>
              </w:rPr>
              <w:t>BM01</w:t>
            </w:r>
          </w:p>
        </w:tc>
        <w:tc>
          <w:tcPr>
            <w:tcW w:type="dxa" w:w="1728"/>
          </w:tcPr>
          <w:p>
            <w:pPr>
              <w:spacing w:after="20" w:before="20"/>
            </w:pPr>
            <w:r/>
            <w:r>
              <w:rPr>
                <w:sz w:val="14"/>
              </w:rPr>
              <w:t>hepatovirelina-3</w:t>
            </w:r>
          </w:p>
        </w:tc>
        <w:tc>
          <w:tcPr>
            <w:tcW w:type="dxa" w:w="4968"/>
          </w:tcPr>
          <w:p>
            <w:pPr>
              <w:spacing w:after="20" w:before="20"/>
            </w:pPr>
            <w:r/>
            <w:r>
              <w:rPr>
                <w:sz w:val="14"/>
              </w:rPr>
              <w:t>En la analítica destaca una elevación de la hepatovirelina-3 sérica.</w:t>
            </w:r>
          </w:p>
        </w:tc>
        <w:tc>
          <w:tcPr>
            <w:tcW w:type="dxa" w:w="1152"/>
          </w:tcPr>
          <w:p>
            <w:pPr>
              <w:spacing w:after="20" w:before="20"/>
            </w:pPr>
            <w:r/>
            <w:r>
              <w:rPr>
                <w:sz w:val="14"/>
              </w:rPr>
              <w:t>hepat</w:t>
            </w:r>
          </w:p>
        </w:tc>
        <w:tc>
          <w:tcPr>
            <w:tcW w:type="dxa" w:w="1008"/>
          </w:tcPr>
          <w:p>
            <w:pPr>
              <w:spacing w:after="20" w:before="20"/>
            </w:pPr>
            <w:r/>
            <w:r>
              <w:rPr>
                <w:sz w:val="14"/>
              </w:rPr>
              <w:t>not used</w:t>
            </w:r>
          </w:p>
        </w:tc>
      </w:tr>
      <w:tr>
        <w:tc>
          <w:tcPr>
            <w:tcW w:type="dxa" w:w="648"/>
          </w:tcPr>
          <w:p>
            <w:pPr>
              <w:spacing w:after="20" w:before="20"/>
            </w:pPr>
            <w:r/>
            <w:r>
              <w:rPr>
                <w:sz w:val="14"/>
              </w:rPr>
              <w:t>BM02</w:t>
            </w:r>
          </w:p>
        </w:tc>
        <w:tc>
          <w:tcPr>
            <w:tcW w:type="dxa" w:w="1728"/>
          </w:tcPr>
          <w:p>
            <w:pPr>
              <w:spacing w:after="20" w:before="20"/>
            </w:pPr>
            <w:r/>
            <w:r>
              <w:rPr>
                <w:sz w:val="14"/>
              </w:rPr>
              <w:t>colangiomirina-8</w:t>
            </w:r>
          </w:p>
        </w:tc>
        <w:tc>
          <w:tcPr>
            <w:tcW w:type="dxa" w:w="4968"/>
          </w:tcPr>
          <w:p>
            <w:pPr>
              <w:spacing w:after="20" w:before="20"/>
            </w:pPr>
            <w:r/>
            <w:r>
              <w:rPr>
                <w:sz w:val="14"/>
              </w:rPr>
              <w:t>La colangiomirina-8 plasmática se encuentra por encima del intervalo de referencia.</w:t>
            </w:r>
          </w:p>
        </w:tc>
        <w:tc>
          <w:tcPr>
            <w:tcW w:type="dxa" w:w="1152"/>
          </w:tcPr>
          <w:p>
            <w:pPr>
              <w:spacing w:after="20" w:before="20"/>
            </w:pPr>
            <w:r/>
            <w:r>
              <w:rPr>
                <w:sz w:val="14"/>
              </w:rPr>
              <w:t>colangi</w:t>
            </w:r>
          </w:p>
        </w:tc>
        <w:tc>
          <w:tcPr>
            <w:tcW w:type="dxa" w:w="1008"/>
          </w:tcPr>
          <w:p>
            <w:pPr>
              <w:spacing w:after="20" w:before="20"/>
            </w:pPr>
            <w:r/>
            <w:r>
              <w:rPr>
                <w:sz w:val="14"/>
              </w:rPr>
              <w:t>used (21)</w:t>
            </w:r>
          </w:p>
        </w:tc>
      </w:tr>
      <w:tr>
        <w:tc>
          <w:tcPr>
            <w:tcW w:type="dxa" w:w="648"/>
          </w:tcPr>
          <w:p>
            <w:pPr>
              <w:spacing w:after="20" w:before="20"/>
            </w:pPr>
            <w:r/>
            <w:r>
              <w:rPr>
                <w:sz w:val="14"/>
              </w:rPr>
              <w:t>BM03</w:t>
            </w:r>
          </w:p>
        </w:tc>
        <w:tc>
          <w:tcPr>
            <w:tcW w:type="dxa" w:w="1728"/>
          </w:tcPr>
          <w:p>
            <w:pPr>
              <w:spacing w:after="20" w:before="20"/>
            </w:pPr>
            <w:r/>
            <w:r>
              <w:rPr>
                <w:sz w:val="14"/>
              </w:rPr>
              <w:t>enterovexina-R2</w:t>
            </w:r>
          </w:p>
        </w:tc>
        <w:tc>
          <w:tcPr>
            <w:tcW w:type="dxa" w:w="4968"/>
          </w:tcPr>
          <w:p>
            <w:pPr>
              <w:spacing w:after="20" w:before="20"/>
            </w:pPr>
            <w:r/>
            <w:r>
              <w:rPr>
                <w:sz w:val="14"/>
              </w:rPr>
              <w:t>La determinación de enterovexina-R2 fecal resulta positiva.</w:t>
            </w:r>
          </w:p>
        </w:tc>
        <w:tc>
          <w:tcPr>
            <w:tcW w:type="dxa" w:w="1152"/>
          </w:tcPr>
          <w:p>
            <w:pPr>
              <w:spacing w:after="20" w:before="20"/>
            </w:pPr>
            <w:r/>
            <w:r>
              <w:rPr>
                <w:sz w:val="14"/>
              </w:rPr>
              <w:t>entero</w:t>
            </w:r>
          </w:p>
        </w:tc>
        <w:tc>
          <w:tcPr>
            <w:tcW w:type="dxa" w:w="1008"/>
          </w:tcPr>
          <w:p>
            <w:pPr>
              <w:spacing w:after="20" w:before="20"/>
            </w:pPr>
            <w:r/>
            <w:r>
              <w:rPr>
                <w:sz w:val="14"/>
              </w:rPr>
              <w:t>not used</w:t>
            </w:r>
          </w:p>
        </w:tc>
      </w:tr>
      <w:tr>
        <w:tc>
          <w:tcPr>
            <w:tcW w:type="dxa" w:w="648"/>
          </w:tcPr>
          <w:p>
            <w:pPr>
              <w:spacing w:after="20" w:before="20"/>
            </w:pPr>
            <w:r/>
            <w:r>
              <w:rPr>
                <w:sz w:val="14"/>
              </w:rPr>
              <w:t>BM04</w:t>
            </w:r>
          </w:p>
        </w:tc>
        <w:tc>
          <w:tcPr>
            <w:tcW w:type="dxa" w:w="1728"/>
          </w:tcPr>
          <w:p>
            <w:pPr>
              <w:spacing w:after="20" w:before="20"/>
            </w:pPr>
            <w:r/>
            <w:r>
              <w:rPr>
                <w:sz w:val="14"/>
              </w:rPr>
              <w:t>pancreocerina-K4</w:t>
            </w:r>
          </w:p>
        </w:tc>
        <w:tc>
          <w:tcPr>
            <w:tcW w:type="dxa" w:w="4968"/>
          </w:tcPr>
          <w:p>
            <w:pPr>
              <w:spacing w:after="20" w:before="20"/>
            </w:pPr>
            <w:r/>
            <w:r>
              <w:rPr>
                <w:sz w:val="14"/>
              </w:rPr>
              <w:t>La pancreocerina-K4 sérica está elevada.</w:t>
            </w:r>
          </w:p>
        </w:tc>
        <w:tc>
          <w:tcPr>
            <w:tcW w:type="dxa" w:w="1152"/>
          </w:tcPr>
          <w:p>
            <w:pPr>
              <w:spacing w:after="20" w:before="20"/>
            </w:pPr>
            <w:r/>
            <w:r>
              <w:rPr>
                <w:sz w:val="14"/>
              </w:rPr>
              <w:t>pancre</w:t>
            </w:r>
          </w:p>
        </w:tc>
        <w:tc>
          <w:tcPr>
            <w:tcW w:type="dxa" w:w="1008"/>
          </w:tcPr>
          <w:p>
            <w:pPr>
              <w:spacing w:after="20" w:before="20"/>
            </w:pPr>
            <w:r/>
            <w:r>
              <w:rPr>
                <w:sz w:val="14"/>
              </w:rPr>
              <w:t>used (15)</w:t>
            </w:r>
          </w:p>
        </w:tc>
      </w:tr>
      <w:tr>
        <w:tc>
          <w:tcPr>
            <w:tcW w:type="dxa" w:w="648"/>
          </w:tcPr>
          <w:p>
            <w:pPr>
              <w:spacing w:after="20" w:before="20"/>
            </w:pPr>
            <w:r/>
            <w:r>
              <w:rPr>
                <w:sz w:val="14"/>
              </w:rPr>
              <w:t>BM05</w:t>
            </w:r>
          </w:p>
        </w:tc>
        <w:tc>
          <w:tcPr>
            <w:tcW w:type="dxa" w:w="1728"/>
          </w:tcPr>
          <w:p>
            <w:pPr>
              <w:spacing w:after="20" w:before="20"/>
            </w:pPr>
            <w:r/>
            <w:r>
              <w:rPr>
                <w:sz w:val="14"/>
              </w:rPr>
              <w:t>gastrofollina-P6</w:t>
            </w:r>
          </w:p>
        </w:tc>
        <w:tc>
          <w:tcPr>
            <w:tcW w:type="dxa" w:w="4968"/>
          </w:tcPr>
          <w:p>
            <w:pPr>
              <w:spacing w:after="20" w:before="20"/>
            </w:pPr>
            <w:r/>
            <w:r>
              <w:rPr>
                <w:sz w:val="14"/>
              </w:rPr>
              <w:t>La gastrofollina-P6 plasmática presenta un valor anormal.</w:t>
            </w:r>
          </w:p>
        </w:tc>
        <w:tc>
          <w:tcPr>
            <w:tcW w:type="dxa" w:w="1152"/>
          </w:tcPr>
          <w:p>
            <w:pPr>
              <w:spacing w:after="20" w:before="20"/>
            </w:pPr>
            <w:r/>
            <w:r>
              <w:rPr>
                <w:sz w:val="14"/>
              </w:rPr>
              <w:t>gastr</w:t>
            </w:r>
          </w:p>
        </w:tc>
        <w:tc>
          <w:tcPr>
            <w:tcW w:type="dxa" w:w="1008"/>
          </w:tcPr>
          <w:p>
            <w:pPr>
              <w:spacing w:after="20" w:before="20"/>
            </w:pPr>
            <w:r/>
            <w:r>
              <w:rPr>
                <w:sz w:val="14"/>
              </w:rPr>
              <w:t>not used</w:t>
            </w:r>
          </w:p>
        </w:tc>
      </w:tr>
      <w:tr>
        <w:tc>
          <w:tcPr>
            <w:tcW w:type="dxa" w:w="648"/>
          </w:tcPr>
          <w:p>
            <w:pPr>
              <w:spacing w:after="20" w:before="20"/>
            </w:pPr>
            <w:r/>
            <w:r>
              <w:rPr>
                <w:sz w:val="14"/>
              </w:rPr>
              <w:t>BM06</w:t>
            </w:r>
          </w:p>
        </w:tc>
        <w:tc>
          <w:tcPr>
            <w:tcW w:type="dxa" w:w="1728"/>
          </w:tcPr>
          <w:p>
            <w:pPr>
              <w:spacing w:after="20" w:before="20"/>
            </w:pPr>
            <w:r/>
            <w:r>
              <w:rPr>
                <w:sz w:val="14"/>
              </w:rPr>
              <w:t>mucorynex-Z9</w:t>
            </w:r>
          </w:p>
        </w:tc>
        <w:tc>
          <w:tcPr>
            <w:tcW w:type="dxa" w:w="4968"/>
          </w:tcPr>
          <w:p>
            <w:pPr>
              <w:spacing w:after="20" w:before="20"/>
            </w:pPr>
            <w:r/>
            <w:r>
              <w:rPr>
                <w:sz w:val="14"/>
              </w:rPr>
              <w:t>La determinación de mucorynex-Z9 en saliva resulta positiva.</w:t>
            </w:r>
          </w:p>
        </w:tc>
        <w:tc>
          <w:tcPr>
            <w:tcW w:type="dxa" w:w="1152"/>
          </w:tcPr>
          <w:p>
            <w:pPr>
              <w:spacing w:after="20" w:before="20"/>
            </w:pPr>
            <w:r/>
            <w:r>
              <w:rPr>
                <w:sz w:val="14"/>
              </w:rPr>
              <w:t>muco</w:t>
            </w:r>
          </w:p>
        </w:tc>
        <w:tc>
          <w:tcPr>
            <w:tcW w:type="dxa" w:w="1008"/>
          </w:tcPr>
          <w:p>
            <w:pPr>
              <w:spacing w:after="20" w:before="20"/>
            </w:pPr>
            <w:r/>
            <w:r>
              <w:rPr>
                <w:sz w:val="14"/>
              </w:rPr>
              <w:t>not used</w:t>
            </w:r>
          </w:p>
        </w:tc>
      </w:tr>
      <w:tr>
        <w:tc>
          <w:tcPr>
            <w:tcW w:type="dxa" w:w="648"/>
          </w:tcPr>
          <w:p>
            <w:pPr>
              <w:spacing w:after="20" w:before="20"/>
            </w:pPr>
            <w:r/>
            <w:r>
              <w:rPr>
                <w:sz w:val="14"/>
              </w:rPr>
              <w:t>BM07</w:t>
            </w:r>
          </w:p>
        </w:tc>
        <w:tc>
          <w:tcPr>
            <w:tcW w:type="dxa" w:w="1728"/>
          </w:tcPr>
          <w:p>
            <w:pPr>
              <w:spacing w:after="20" w:before="20"/>
            </w:pPr>
            <w:r/>
            <w:r>
              <w:rPr>
                <w:sz w:val="14"/>
              </w:rPr>
              <w:t>fibroquelina-X3</w:t>
            </w:r>
          </w:p>
        </w:tc>
        <w:tc>
          <w:tcPr>
            <w:tcW w:type="dxa" w:w="4968"/>
          </w:tcPr>
          <w:p>
            <w:pPr>
              <w:spacing w:after="20" w:before="20"/>
            </w:pPr>
            <w:r/>
            <w:r>
              <w:rPr>
                <w:sz w:val="14"/>
              </w:rPr>
              <w:t>La fibroquelina-X3 sérica se encuentra aumentada.</w:t>
            </w:r>
          </w:p>
        </w:tc>
        <w:tc>
          <w:tcPr>
            <w:tcW w:type="dxa" w:w="1152"/>
          </w:tcPr>
          <w:p>
            <w:pPr>
              <w:spacing w:after="20" w:before="20"/>
            </w:pPr>
            <w:r/>
            <w:r>
              <w:rPr>
                <w:sz w:val="14"/>
              </w:rPr>
              <w:t>fibro</w:t>
            </w:r>
          </w:p>
        </w:tc>
        <w:tc>
          <w:tcPr>
            <w:tcW w:type="dxa" w:w="1008"/>
          </w:tcPr>
          <w:p>
            <w:pPr>
              <w:spacing w:after="20" w:before="20"/>
            </w:pPr>
            <w:r/>
            <w:r>
              <w:rPr>
                <w:sz w:val="14"/>
              </w:rPr>
              <w:t>used (44)</w:t>
            </w:r>
          </w:p>
        </w:tc>
      </w:tr>
      <w:tr>
        <w:tc>
          <w:tcPr>
            <w:tcW w:type="dxa" w:w="648"/>
          </w:tcPr>
          <w:p>
            <w:pPr>
              <w:spacing w:after="20" w:before="20"/>
            </w:pPr>
            <w:r/>
            <w:r>
              <w:rPr>
                <w:sz w:val="14"/>
              </w:rPr>
              <w:t>BM08</w:t>
            </w:r>
          </w:p>
        </w:tc>
        <w:tc>
          <w:tcPr>
            <w:tcW w:type="dxa" w:w="1728"/>
          </w:tcPr>
          <w:p>
            <w:pPr>
              <w:spacing w:after="20" w:before="20"/>
            </w:pPr>
            <w:r/>
            <w:r>
              <w:rPr>
                <w:sz w:val="14"/>
              </w:rPr>
              <w:t>portalectina-Q5</w:t>
            </w:r>
          </w:p>
        </w:tc>
        <w:tc>
          <w:tcPr>
            <w:tcW w:type="dxa" w:w="4968"/>
          </w:tcPr>
          <w:p>
            <w:pPr>
              <w:spacing w:after="20" w:before="20"/>
            </w:pPr>
            <w:r/>
            <w:r>
              <w:rPr>
                <w:sz w:val="14"/>
              </w:rPr>
              <w:t>La portalectina-Q5 plasmática supera el límite superior de normalidad.</w:t>
            </w:r>
          </w:p>
        </w:tc>
        <w:tc>
          <w:tcPr>
            <w:tcW w:type="dxa" w:w="1152"/>
          </w:tcPr>
          <w:p>
            <w:pPr>
              <w:spacing w:after="20" w:before="20"/>
            </w:pPr>
            <w:r/>
            <w:r>
              <w:rPr>
                <w:sz w:val="14"/>
              </w:rPr>
              <w:t>portal</w:t>
            </w:r>
          </w:p>
        </w:tc>
        <w:tc>
          <w:tcPr>
            <w:tcW w:type="dxa" w:w="1008"/>
          </w:tcPr>
          <w:p>
            <w:pPr>
              <w:spacing w:after="20" w:before="20"/>
            </w:pPr>
            <w:r/>
            <w:r>
              <w:rPr>
                <w:sz w:val="14"/>
              </w:rPr>
              <w:t>used (19)</w:t>
            </w:r>
          </w:p>
        </w:tc>
      </w:tr>
      <w:tr>
        <w:tc>
          <w:tcPr>
            <w:tcW w:type="dxa" w:w="648"/>
          </w:tcPr>
          <w:p>
            <w:pPr>
              <w:spacing w:after="20" w:before="20"/>
            </w:pPr>
            <w:r/>
            <w:r>
              <w:rPr>
                <w:sz w:val="14"/>
              </w:rPr>
              <w:t>BM09</w:t>
            </w:r>
          </w:p>
        </w:tc>
        <w:tc>
          <w:tcPr>
            <w:tcW w:type="dxa" w:w="1728"/>
          </w:tcPr>
          <w:p>
            <w:pPr>
              <w:spacing w:after="20" w:before="20"/>
            </w:pPr>
            <w:r/>
            <w:r>
              <w:rPr>
                <w:sz w:val="14"/>
              </w:rPr>
              <w:t>ileovarina-T5</w:t>
            </w:r>
          </w:p>
        </w:tc>
        <w:tc>
          <w:tcPr>
            <w:tcW w:type="dxa" w:w="4968"/>
          </w:tcPr>
          <w:p>
            <w:pPr>
              <w:spacing w:after="20" w:before="20"/>
            </w:pPr>
            <w:r/>
            <w:r>
              <w:rPr>
                <w:sz w:val="14"/>
              </w:rPr>
              <w:t>La determinación de ileovarina-T5 fecal se encuentra elevada.</w:t>
            </w:r>
          </w:p>
        </w:tc>
        <w:tc>
          <w:tcPr>
            <w:tcW w:type="dxa" w:w="1152"/>
          </w:tcPr>
          <w:p>
            <w:pPr>
              <w:spacing w:after="20" w:before="20"/>
            </w:pPr>
            <w:r/>
            <w:r>
              <w:rPr>
                <w:sz w:val="14"/>
              </w:rPr>
              <w:t>ileo</w:t>
            </w:r>
          </w:p>
        </w:tc>
        <w:tc>
          <w:tcPr>
            <w:tcW w:type="dxa" w:w="1008"/>
          </w:tcPr>
          <w:p>
            <w:pPr>
              <w:spacing w:after="20" w:before="20"/>
            </w:pPr>
            <w:r/>
            <w:r>
              <w:rPr>
                <w:sz w:val="14"/>
              </w:rPr>
              <w:t>not used</w:t>
            </w:r>
          </w:p>
        </w:tc>
      </w:tr>
      <w:tr>
        <w:tc>
          <w:tcPr>
            <w:tcW w:type="dxa" w:w="648"/>
          </w:tcPr>
          <w:p>
            <w:pPr>
              <w:spacing w:after="20" w:before="20"/>
            </w:pPr>
            <w:r/>
            <w:r>
              <w:rPr>
                <w:sz w:val="14"/>
              </w:rPr>
              <w:t>BM10</w:t>
            </w:r>
          </w:p>
        </w:tc>
        <w:tc>
          <w:tcPr>
            <w:tcW w:type="dxa" w:w="1728"/>
          </w:tcPr>
          <w:p>
            <w:pPr>
              <w:spacing w:after="20" w:before="20"/>
            </w:pPr>
            <w:r/>
            <w:r>
              <w:rPr>
                <w:sz w:val="14"/>
              </w:rPr>
              <w:t>colonorelina-M7</w:t>
            </w:r>
          </w:p>
        </w:tc>
        <w:tc>
          <w:tcPr>
            <w:tcW w:type="dxa" w:w="4968"/>
          </w:tcPr>
          <w:p>
            <w:pPr>
              <w:spacing w:after="20" w:before="20"/>
            </w:pPr>
            <w:r/>
            <w:r>
              <w:rPr>
                <w:sz w:val="14"/>
              </w:rPr>
              <w:t>La colonorelina-M7 sérica resulta positiva.</w:t>
            </w:r>
          </w:p>
        </w:tc>
        <w:tc>
          <w:tcPr>
            <w:tcW w:type="dxa" w:w="1152"/>
          </w:tcPr>
          <w:p>
            <w:pPr>
              <w:spacing w:after="20" w:before="20"/>
            </w:pPr>
            <w:r/>
            <w:r>
              <w:rPr>
                <w:sz w:val="14"/>
              </w:rPr>
              <w:t>colon</w:t>
            </w:r>
          </w:p>
        </w:tc>
        <w:tc>
          <w:tcPr>
            <w:tcW w:type="dxa" w:w="1008"/>
          </w:tcPr>
          <w:p>
            <w:pPr>
              <w:spacing w:after="20" w:before="20"/>
            </w:pPr>
            <w:r/>
            <w:r>
              <w:rPr>
                <w:sz w:val="14"/>
              </w:rPr>
              <w:t>not used</w:t>
            </w:r>
          </w:p>
        </w:tc>
      </w:tr>
      <w:tr>
        <w:tc>
          <w:tcPr>
            <w:tcW w:type="dxa" w:w="648"/>
          </w:tcPr>
          <w:p>
            <w:pPr>
              <w:spacing w:after="20" w:before="20"/>
            </w:pPr>
            <w:r/>
            <w:r>
              <w:rPr>
                <w:sz w:val="14"/>
              </w:rPr>
              <w:t>AN01</w:t>
            </w:r>
          </w:p>
        </w:tc>
        <w:tc>
          <w:tcPr>
            <w:tcW w:type="dxa" w:w="1728"/>
          </w:tcPr>
          <w:p>
            <w:pPr>
              <w:spacing w:after="20" w:before="20"/>
            </w:pPr>
            <w:r/>
            <w:r>
              <w:rPr>
                <w:sz w:val="14"/>
              </w:rPr>
              <w:t>glándula maroviana</w:t>
            </w:r>
          </w:p>
        </w:tc>
        <w:tc>
          <w:tcPr>
            <w:tcW w:type="dxa" w:w="4968"/>
          </w:tcPr>
          <w:p>
            <w:pPr>
              <w:spacing w:after="20" w:before="20"/>
            </w:pPr>
            <w:r/>
            <w:r>
              <w:rPr>
                <w:sz w:val="14"/>
              </w:rPr>
              <w:t>La ecografía describe un aumento de tamaño de la glándula maroviana.</w:t>
            </w:r>
          </w:p>
        </w:tc>
        <w:tc>
          <w:tcPr>
            <w:tcW w:type="dxa" w:w="1152"/>
          </w:tcPr>
          <w:p>
            <w:pPr>
              <w:spacing w:after="20" w:before="20"/>
            </w:pPr>
            <w:r/>
            <w:r>
              <w:rPr>
                <w:sz w:val="14"/>
              </w:rPr>
              <w:t>marovian</w:t>
            </w:r>
          </w:p>
        </w:tc>
        <w:tc>
          <w:tcPr>
            <w:tcW w:type="dxa" w:w="1008"/>
          </w:tcPr>
          <w:p>
            <w:pPr>
              <w:spacing w:after="20" w:before="20"/>
            </w:pPr>
            <w:r/>
            <w:r>
              <w:rPr>
                <w:sz w:val="14"/>
              </w:rPr>
              <w:t>not used</w:t>
            </w:r>
          </w:p>
        </w:tc>
      </w:tr>
      <w:tr>
        <w:tc>
          <w:tcPr>
            <w:tcW w:type="dxa" w:w="648"/>
          </w:tcPr>
          <w:p>
            <w:pPr>
              <w:spacing w:after="20" w:before="20"/>
            </w:pPr>
            <w:r/>
            <w:r>
              <w:rPr>
                <w:sz w:val="14"/>
              </w:rPr>
              <w:t>AN02</w:t>
            </w:r>
          </w:p>
        </w:tc>
        <w:tc>
          <w:tcPr>
            <w:tcW w:type="dxa" w:w="1728"/>
          </w:tcPr>
          <w:p>
            <w:pPr>
              <w:spacing w:after="20" w:before="20"/>
            </w:pPr>
            <w:r/>
            <w:r>
              <w:rPr>
                <w:sz w:val="14"/>
              </w:rPr>
              <w:t>cuerpo valdrénico</w:t>
            </w:r>
          </w:p>
        </w:tc>
        <w:tc>
          <w:tcPr>
            <w:tcW w:type="dxa" w:w="4968"/>
          </w:tcPr>
          <w:p>
            <w:pPr>
              <w:spacing w:after="20" w:before="20"/>
            </w:pPr>
            <w:r/>
            <w:r>
              <w:rPr>
                <w:sz w:val="14"/>
              </w:rPr>
              <w:t>La tomografía computarizada muestra edema del cuerpo valdrénico.</w:t>
            </w:r>
          </w:p>
        </w:tc>
        <w:tc>
          <w:tcPr>
            <w:tcW w:type="dxa" w:w="1152"/>
          </w:tcPr>
          <w:p>
            <w:pPr>
              <w:spacing w:after="20" w:before="20"/>
            </w:pPr>
            <w:r/>
            <w:r>
              <w:rPr>
                <w:sz w:val="14"/>
              </w:rPr>
              <w:t>valdren</w:t>
            </w:r>
          </w:p>
        </w:tc>
        <w:tc>
          <w:tcPr>
            <w:tcW w:type="dxa" w:w="1008"/>
          </w:tcPr>
          <w:p>
            <w:pPr>
              <w:spacing w:after="20" w:before="20"/>
            </w:pPr>
            <w:r/>
            <w:r>
              <w:rPr>
                <w:sz w:val="14"/>
              </w:rPr>
              <w:t>not used</w:t>
            </w:r>
          </w:p>
        </w:tc>
      </w:tr>
      <w:tr>
        <w:tc>
          <w:tcPr>
            <w:tcW w:type="dxa" w:w="648"/>
          </w:tcPr>
          <w:p>
            <w:pPr>
              <w:spacing w:after="20" w:before="20"/>
            </w:pPr>
            <w:r/>
            <w:r>
              <w:rPr>
                <w:sz w:val="14"/>
              </w:rPr>
              <w:t>AN03</w:t>
            </w:r>
          </w:p>
        </w:tc>
        <w:tc>
          <w:tcPr>
            <w:tcW w:type="dxa" w:w="1728"/>
          </w:tcPr>
          <w:p>
            <w:pPr>
              <w:spacing w:after="20" w:before="20"/>
            </w:pPr>
            <w:r/>
            <w:r>
              <w:rPr>
                <w:sz w:val="14"/>
              </w:rPr>
              <w:t>órgano neraliano</w:t>
            </w:r>
          </w:p>
        </w:tc>
        <w:tc>
          <w:tcPr>
            <w:tcW w:type="dxa" w:w="4968"/>
          </w:tcPr>
          <w:p>
            <w:pPr>
              <w:spacing w:after="20" w:before="20"/>
            </w:pPr>
            <w:r/>
            <w:r>
              <w:rPr>
                <w:sz w:val="14"/>
              </w:rPr>
              <w:t>La resonancia magnética identifica inflamación del órgano neraliano.</w:t>
            </w:r>
          </w:p>
        </w:tc>
        <w:tc>
          <w:tcPr>
            <w:tcW w:type="dxa" w:w="1152"/>
          </w:tcPr>
          <w:p>
            <w:pPr>
              <w:spacing w:after="20" w:before="20"/>
            </w:pPr>
            <w:r/>
            <w:r>
              <w:rPr>
                <w:sz w:val="14"/>
              </w:rPr>
              <w:t>neralian</w:t>
            </w:r>
          </w:p>
        </w:tc>
        <w:tc>
          <w:tcPr>
            <w:tcW w:type="dxa" w:w="1008"/>
          </w:tcPr>
          <w:p>
            <w:pPr>
              <w:spacing w:after="20" w:before="20"/>
            </w:pPr>
            <w:r/>
            <w:r>
              <w:rPr>
                <w:sz w:val="14"/>
              </w:rPr>
              <w:t>not used</w:t>
            </w:r>
          </w:p>
        </w:tc>
      </w:tr>
      <w:tr>
        <w:tc>
          <w:tcPr>
            <w:tcW w:type="dxa" w:w="648"/>
          </w:tcPr>
          <w:p>
            <w:pPr>
              <w:spacing w:after="20" w:before="20"/>
            </w:pPr>
            <w:r/>
            <w:r>
              <w:rPr>
                <w:sz w:val="14"/>
              </w:rPr>
              <w:t>AN04</w:t>
            </w:r>
          </w:p>
        </w:tc>
        <w:tc>
          <w:tcPr>
            <w:tcW w:type="dxa" w:w="1728"/>
          </w:tcPr>
          <w:p>
            <w:pPr>
              <w:spacing w:after="20" w:before="20"/>
            </w:pPr>
            <w:r/>
            <w:r>
              <w:rPr>
                <w:sz w:val="14"/>
              </w:rPr>
              <w:t>saco orfalónico</w:t>
            </w:r>
          </w:p>
        </w:tc>
        <w:tc>
          <w:tcPr>
            <w:tcW w:type="dxa" w:w="4968"/>
          </w:tcPr>
          <w:p>
            <w:pPr>
              <w:spacing w:after="20" w:before="20"/>
            </w:pPr>
            <w:r/>
            <w:r>
              <w:rPr>
                <w:sz w:val="14"/>
              </w:rPr>
              <w:t>La exploración revela dolor a la palpación del saco orfalónico.</w:t>
            </w:r>
          </w:p>
        </w:tc>
        <w:tc>
          <w:tcPr>
            <w:tcW w:type="dxa" w:w="1152"/>
          </w:tcPr>
          <w:p>
            <w:pPr>
              <w:spacing w:after="20" w:before="20"/>
            </w:pPr>
            <w:r/>
            <w:r>
              <w:rPr>
                <w:sz w:val="14"/>
              </w:rPr>
              <w:t>saco</w:t>
            </w:r>
          </w:p>
        </w:tc>
        <w:tc>
          <w:tcPr>
            <w:tcW w:type="dxa" w:w="1008"/>
          </w:tcPr>
          <w:p>
            <w:pPr>
              <w:spacing w:after="20" w:before="20"/>
            </w:pPr>
            <w:r/>
            <w:r>
              <w:rPr>
                <w:sz w:val="14"/>
              </w:rPr>
              <w:t>used (56)</w:t>
            </w:r>
          </w:p>
        </w:tc>
      </w:tr>
      <w:tr>
        <w:tc>
          <w:tcPr>
            <w:tcW w:type="dxa" w:w="648"/>
          </w:tcPr>
          <w:p>
            <w:pPr>
              <w:spacing w:after="20" w:before="20"/>
            </w:pPr>
            <w:r/>
            <w:r>
              <w:rPr>
                <w:sz w:val="14"/>
              </w:rPr>
              <w:t>AN05</w:t>
            </w:r>
          </w:p>
        </w:tc>
        <w:tc>
          <w:tcPr>
            <w:tcW w:type="dxa" w:w="1728"/>
          </w:tcPr>
          <w:p>
            <w:pPr>
              <w:spacing w:after="20" w:before="20"/>
            </w:pPr>
            <w:r/>
            <w:r>
              <w:rPr>
                <w:sz w:val="14"/>
              </w:rPr>
              <w:t>glándula cavorelliana</w:t>
            </w:r>
          </w:p>
        </w:tc>
        <w:tc>
          <w:tcPr>
            <w:tcW w:type="dxa" w:w="4968"/>
          </w:tcPr>
          <w:p>
            <w:pPr>
              <w:spacing w:after="20" w:before="20"/>
            </w:pPr>
            <w:r/>
            <w:r>
              <w:rPr>
                <w:sz w:val="14"/>
              </w:rPr>
              <w:t>La ecografía objetiva dilatación de la glándula cavorelliana.</w:t>
            </w:r>
          </w:p>
        </w:tc>
        <w:tc>
          <w:tcPr>
            <w:tcW w:type="dxa" w:w="1152"/>
          </w:tcPr>
          <w:p>
            <w:pPr>
              <w:spacing w:after="20" w:before="20"/>
            </w:pPr>
            <w:r/>
            <w:r>
              <w:rPr>
                <w:sz w:val="14"/>
              </w:rPr>
              <w:t>cavorellian</w:t>
            </w:r>
          </w:p>
        </w:tc>
        <w:tc>
          <w:tcPr>
            <w:tcW w:type="dxa" w:w="1008"/>
          </w:tcPr>
          <w:p>
            <w:pPr>
              <w:spacing w:after="20" w:before="20"/>
            </w:pPr>
            <w:r/>
            <w:r>
              <w:rPr>
                <w:sz w:val="14"/>
              </w:rPr>
              <w:t>not used</w:t>
            </w:r>
          </w:p>
        </w:tc>
      </w:tr>
      <w:tr>
        <w:tc>
          <w:tcPr>
            <w:tcW w:type="dxa" w:w="648"/>
          </w:tcPr>
          <w:p>
            <w:pPr>
              <w:spacing w:after="20" w:before="20"/>
            </w:pPr>
            <w:r/>
            <w:r>
              <w:rPr>
                <w:sz w:val="14"/>
              </w:rPr>
              <w:t>AN06</w:t>
            </w:r>
          </w:p>
        </w:tc>
        <w:tc>
          <w:tcPr>
            <w:tcW w:type="dxa" w:w="1728"/>
          </w:tcPr>
          <w:p>
            <w:pPr>
              <w:spacing w:after="20" w:before="20"/>
            </w:pPr>
            <w:r/>
            <w:r>
              <w:rPr>
                <w:sz w:val="14"/>
              </w:rPr>
              <w:t>cuerpo treliano</w:t>
            </w:r>
          </w:p>
        </w:tc>
        <w:tc>
          <w:tcPr>
            <w:tcW w:type="dxa" w:w="4968"/>
          </w:tcPr>
          <w:p>
            <w:pPr>
              <w:spacing w:after="20" w:before="20"/>
            </w:pPr>
            <w:r/>
            <w:r>
              <w:rPr>
                <w:sz w:val="14"/>
              </w:rPr>
              <w:t>La tomografía computarizada muestra engrosamiento del cuerpo treliano.</w:t>
            </w:r>
          </w:p>
        </w:tc>
        <w:tc>
          <w:tcPr>
            <w:tcW w:type="dxa" w:w="1152"/>
          </w:tcPr>
          <w:p>
            <w:pPr>
              <w:spacing w:after="20" w:before="20"/>
            </w:pPr>
            <w:r/>
            <w:r>
              <w:rPr>
                <w:sz w:val="14"/>
              </w:rPr>
              <w:t>trelian</w:t>
            </w:r>
          </w:p>
        </w:tc>
        <w:tc>
          <w:tcPr>
            <w:tcW w:type="dxa" w:w="1008"/>
          </w:tcPr>
          <w:p>
            <w:pPr>
              <w:spacing w:after="20" w:before="20"/>
            </w:pPr>
            <w:r/>
            <w:r>
              <w:rPr>
                <w:sz w:val="14"/>
              </w:rPr>
              <w:t>not used</w:t>
            </w:r>
          </w:p>
        </w:tc>
      </w:tr>
      <w:tr>
        <w:tc>
          <w:tcPr>
            <w:tcW w:type="dxa" w:w="648"/>
          </w:tcPr>
          <w:p>
            <w:pPr>
              <w:spacing w:after="20" w:before="20"/>
            </w:pPr>
            <w:r/>
            <w:r>
              <w:rPr>
                <w:sz w:val="14"/>
              </w:rPr>
              <w:t>AN07</w:t>
            </w:r>
          </w:p>
        </w:tc>
        <w:tc>
          <w:tcPr>
            <w:tcW w:type="dxa" w:w="1728"/>
          </w:tcPr>
          <w:p>
            <w:pPr>
              <w:spacing w:after="20" w:before="20"/>
            </w:pPr>
            <w:r/>
            <w:r>
              <w:rPr>
                <w:sz w:val="14"/>
              </w:rPr>
              <w:t>órgano pelvórico</w:t>
            </w:r>
          </w:p>
        </w:tc>
        <w:tc>
          <w:tcPr>
            <w:tcW w:type="dxa" w:w="4968"/>
          </w:tcPr>
          <w:p>
            <w:pPr>
              <w:spacing w:after="20" w:before="20"/>
            </w:pPr>
            <w:r/>
            <w:r>
              <w:rPr>
                <w:sz w:val="14"/>
              </w:rPr>
              <w:t>La resonancia magnética evidencia compresión del órgano pelvórico.</w:t>
            </w:r>
          </w:p>
        </w:tc>
        <w:tc>
          <w:tcPr>
            <w:tcW w:type="dxa" w:w="1152"/>
          </w:tcPr>
          <w:p>
            <w:pPr>
              <w:spacing w:after="20" w:before="20"/>
            </w:pPr>
            <w:r/>
            <w:r>
              <w:rPr>
                <w:sz w:val="14"/>
              </w:rPr>
              <w:t>pelvoric</w:t>
            </w:r>
          </w:p>
        </w:tc>
        <w:tc>
          <w:tcPr>
            <w:tcW w:type="dxa" w:w="1008"/>
          </w:tcPr>
          <w:p>
            <w:pPr>
              <w:spacing w:after="20" w:before="20"/>
            </w:pPr>
            <w:r/>
            <w:r>
              <w:rPr>
                <w:sz w:val="14"/>
              </w:rPr>
              <w:t>not used</w:t>
            </w:r>
          </w:p>
        </w:tc>
      </w:tr>
      <w:tr>
        <w:tc>
          <w:tcPr>
            <w:tcW w:type="dxa" w:w="648"/>
          </w:tcPr>
          <w:p>
            <w:pPr>
              <w:spacing w:after="20" w:before="20"/>
            </w:pPr>
            <w:r/>
            <w:r>
              <w:rPr>
                <w:sz w:val="14"/>
              </w:rPr>
              <w:t>AN08</w:t>
            </w:r>
          </w:p>
        </w:tc>
        <w:tc>
          <w:tcPr>
            <w:tcW w:type="dxa" w:w="1728"/>
          </w:tcPr>
          <w:p>
            <w:pPr>
              <w:spacing w:after="20" w:before="20"/>
            </w:pPr>
            <w:r/>
            <w:r>
              <w:rPr>
                <w:sz w:val="14"/>
              </w:rPr>
              <w:t>glándula sereviana</w:t>
            </w:r>
          </w:p>
        </w:tc>
        <w:tc>
          <w:tcPr>
            <w:tcW w:type="dxa" w:w="4968"/>
          </w:tcPr>
          <w:p>
            <w:pPr>
              <w:spacing w:after="20" w:before="20"/>
            </w:pPr>
            <w:r/>
            <w:r>
              <w:rPr>
                <w:sz w:val="14"/>
              </w:rPr>
              <w:t>La ecografía describe cambios inflamatorios en la glándula sereviana.</w:t>
            </w:r>
          </w:p>
        </w:tc>
        <w:tc>
          <w:tcPr>
            <w:tcW w:type="dxa" w:w="1152"/>
          </w:tcPr>
          <w:p>
            <w:pPr>
              <w:spacing w:after="20" w:before="20"/>
            </w:pPr>
            <w:r/>
            <w:r>
              <w:rPr>
                <w:sz w:val="14"/>
              </w:rPr>
              <w:t>serevian</w:t>
            </w:r>
          </w:p>
        </w:tc>
        <w:tc>
          <w:tcPr>
            <w:tcW w:type="dxa" w:w="1008"/>
          </w:tcPr>
          <w:p>
            <w:pPr>
              <w:spacing w:after="20" w:before="20"/>
            </w:pPr>
            <w:r/>
            <w:r>
              <w:rPr>
                <w:sz w:val="14"/>
              </w:rPr>
              <w:t>not used</w:t>
            </w:r>
          </w:p>
        </w:tc>
      </w:tr>
      <w:tr>
        <w:tc>
          <w:tcPr>
            <w:tcW w:type="dxa" w:w="648"/>
          </w:tcPr>
          <w:p>
            <w:pPr>
              <w:spacing w:after="20" w:before="20"/>
            </w:pPr>
            <w:r/>
            <w:r>
              <w:rPr>
                <w:sz w:val="14"/>
              </w:rPr>
              <w:t>AN09</w:t>
            </w:r>
          </w:p>
        </w:tc>
        <w:tc>
          <w:tcPr>
            <w:tcW w:type="dxa" w:w="1728"/>
          </w:tcPr>
          <w:p>
            <w:pPr>
              <w:spacing w:after="20" w:before="20"/>
            </w:pPr>
            <w:r/>
            <w:r>
              <w:rPr>
                <w:sz w:val="14"/>
              </w:rPr>
              <w:t>cuerpo dorválico</w:t>
            </w:r>
          </w:p>
        </w:tc>
        <w:tc>
          <w:tcPr>
            <w:tcW w:type="dxa" w:w="4968"/>
          </w:tcPr>
          <w:p>
            <w:pPr>
              <w:spacing w:after="20" w:before="20"/>
            </w:pPr>
            <w:r/>
            <w:r>
              <w:rPr>
                <w:sz w:val="14"/>
              </w:rPr>
              <w:t>La tomografía computarizada identifica una lesión focal en el cuerpo dorválico.</w:t>
            </w:r>
          </w:p>
        </w:tc>
        <w:tc>
          <w:tcPr>
            <w:tcW w:type="dxa" w:w="1152"/>
          </w:tcPr>
          <w:p>
            <w:pPr>
              <w:spacing w:after="20" w:before="20"/>
            </w:pPr>
            <w:r/>
            <w:r>
              <w:rPr>
                <w:sz w:val="14"/>
              </w:rPr>
              <w:t>dorvalic</w:t>
            </w:r>
          </w:p>
        </w:tc>
        <w:tc>
          <w:tcPr>
            <w:tcW w:type="dxa" w:w="1008"/>
          </w:tcPr>
          <w:p>
            <w:pPr>
              <w:spacing w:after="20" w:before="20"/>
            </w:pPr>
            <w:r/>
            <w:r>
              <w:rPr>
                <w:sz w:val="14"/>
              </w:rPr>
              <w:t>not used</w:t>
            </w:r>
          </w:p>
        </w:tc>
      </w:tr>
      <w:tr>
        <w:tc>
          <w:tcPr>
            <w:tcW w:type="dxa" w:w="648"/>
          </w:tcPr>
          <w:p>
            <w:pPr>
              <w:spacing w:after="20" w:before="20"/>
            </w:pPr>
            <w:r/>
            <w:r>
              <w:rPr>
                <w:sz w:val="14"/>
              </w:rPr>
              <w:t>AN10</w:t>
            </w:r>
          </w:p>
        </w:tc>
        <w:tc>
          <w:tcPr>
            <w:tcW w:type="dxa" w:w="1728"/>
          </w:tcPr>
          <w:p>
            <w:pPr>
              <w:spacing w:after="20" w:before="20"/>
            </w:pPr>
            <w:r/>
            <w:r>
              <w:rPr>
                <w:sz w:val="14"/>
              </w:rPr>
              <w:t>órgano liradónico</w:t>
            </w:r>
          </w:p>
        </w:tc>
        <w:tc>
          <w:tcPr>
            <w:tcW w:type="dxa" w:w="4968"/>
          </w:tcPr>
          <w:p>
            <w:pPr>
              <w:spacing w:after="20" w:before="20"/>
            </w:pPr>
            <w:r/>
            <w:r>
              <w:rPr>
                <w:sz w:val="14"/>
              </w:rPr>
              <w:t>La exploración muestra sensibilidad localizada sobre el órgano liradónico.</w:t>
            </w:r>
          </w:p>
        </w:tc>
        <w:tc>
          <w:tcPr>
            <w:tcW w:type="dxa" w:w="1152"/>
          </w:tcPr>
          <w:p>
            <w:pPr>
              <w:spacing w:after="20" w:before="20"/>
            </w:pPr>
            <w:r/>
            <w:r>
              <w:rPr>
                <w:sz w:val="14"/>
              </w:rPr>
              <w:t>organo</w:t>
            </w:r>
          </w:p>
        </w:tc>
        <w:tc>
          <w:tcPr>
            <w:tcW w:type="dxa" w:w="1008"/>
          </w:tcPr>
          <w:p>
            <w:pPr>
              <w:spacing w:after="20" w:before="20"/>
            </w:pPr>
            <w:r/>
            <w:r>
              <w:rPr>
                <w:sz w:val="14"/>
              </w:rPr>
              <w:t>used (30)</w:t>
            </w:r>
          </w:p>
        </w:tc>
      </w:tr>
    </w:tbl>
    <w:p>
      <w:pPr>
        <w:spacing w:before="40" w:after="160"/>
      </w:pPr>
      <w:r>
        <w:rPr>
          <w:i/>
          <w:color w:val="444444"/>
          <w:sz w:val="15"/>
        </w:rPr>
        <w:t>Table A1. All twenty candidate sentences as stored in tools/build_expC.py. The 'root' column is the morpheme used for the camouflage test. 'Status' gives the number of generated items using each sentence.</w:t>
      </w:r>
    </w:p>
    <w:p>
      <w:pPr>
        <w:pStyle w:val="Heading1"/>
      </w:pPr>
      <w:r>
        <w:t>Appendix B. Question identifier lists</w:t>
      </w:r>
    </w:p>
    <w:p>
      <w:pPr>
        <w:spacing w:after="20"/>
      </w:pPr>
      <w:r>
        <w:rPr>
          <w:b/>
          <w:sz w:val="18"/>
        </w:rPr>
        <w:t>Strict paired set (37)</w:t>
      </w:r>
    </w:p>
    <w:p>
      <w:pPr>
        <w:spacing w:after="120"/>
      </w:pPr>
      <w:r>
        <w:rPr>
          <w:rFonts w:ascii="Consolas" w:hAnsi="Consolas"/>
          <w:sz w:val="15"/>
        </w:rPr>
        <w:t>b2 b3 b4 b8 b9 b13 b15 b17 b21 b24 b26 b27 b28 b29 b30 b31 b33 b35 b36 b38 b42 b43 b44 b45 b46 b182 b209 b258 b299 b329 b353 b357 b387 b429 b460 b470 b473</w:t>
      </w:r>
    </w:p>
    <w:p>
      <w:pPr>
        <w:spacing w:after="20"/>
      </w:pPr>
      <w:r>
        <w:rPr>
          <w:b/>
          <w:sz w:val="18"/>
        </w:rPr>
        <w:t>Relaxed paired set (58)</w:t>
      </w:r>
    </w:p>
    <w:p>
      <w:pPr>
        <w:spacing w:after="120"/>
      </w:pPr>
      <w:r>
        <w:rPr>
          <w:rFonts w:ascii="Consolas" w:hAnsi="Consolas"/>
          <w:sz w:val="15"/>
        </w:rPr>
        <w:t>b2 b3 b4 b5 b7 b8 b9 b13 b15 b17 b21 b22 b24 b25 b26 b27 b28 b29 b30 b31 b32 b33 b35 b36 b37 b38 b39 b42 b43 b44 b45 b46 b182 b183 b192 b209 b219 b220 b222 b230 b240 b258 b299 b327 b329 b351 b353 b357 b366 b387 b400 b429 b460 b462 b470 b473 b494 b497</w:t>
      </w:r>
    </w:p>
    <w:p>
      <w:pPr>
        <w:spacing w:after="20"/>
      </w:pPr>
      <w:r>
        <w:rPr>
          <w:b/>
          <w:sz w:val="18"/>
        </w:rPr>
        <w:t>Strict biomarker arm (59)</w:t>
      </w:r>
    </w:p>
    <w:p>
      <w:pPr>
        <w:spacing w:after="120"/>
      </w:pPr>
      <w:r>
        <w:rPr>
          <w:rFonts w:ascii="Consolas" w:hAnsi="Consolas"/>
          <w:sz w:val="15"/>
        </w:rPr>
        <w:t>b2 b3 b4 b8 b9 b13 b15 b17 b21 b24 b26 b27 b28 b29 b30 b31 b33 b35 b36 b38 b42 b43 b44 b45 b46 b73 b74 b77 b81 b82 b84 b86 b87 b90 b91 b92 b93 b143 b150 b151 b153 b155 b156 b159 b163 b182 b209 b258 b299 b321 b329 b353 b357 b379 b387 b429 b460 b470 b473</w:t>
      </w:r>
    </w:p>
    <w:p>
      <w:pPr>
        <w:spacing w:after="20"/>
      </w:pPr>
      <w:r>
        <w:rPr>
          <w:b/>
          <w:sz w:val="18"/>
        </w:rPr>
        <w:t>Strict anatomy arm (54)</w:t>
      </w:r>
    </w:p>
    <w:p>
      <w:pPr>
        <w:spacing w:after="120"/>
      </w:pPr>
      <w:r>
        <w:rPr>
          <w:rFonts w:ascii="Consolas" w:hAnsi="Consolas"/>
          <w:sz w:val="15"/>
        </w:rPr>
        <w:t>b2 b3 b4 b6 b8 b9 b12 b13 b15 b17 b21 b24 b26 b27 b28 b29 b30 b31 b33 b35 b36 b38 b42 b43 b44 b45 b46 b49 b50 b52 b58 b62 b63 b66 b68 b69 b94 b95 b96 b97 b167 b182 b209 b258 b299 b329 b353 b357 b387 b392 b429 b460 b470 b473</w:t>
      </w:r>
    </w:p>
    <w:p>
      <w:pPr>
        <w:spacing w:after="20"/>
      </w:pPr>
      <w:r>
        <w:rPr>
          <w:b/>
          <w:sz w:val="18"/>
        </w:rPr>
        <w:t>Relaxed biomarker arm (99)</w:t>
      </w:r>
    </w:p>
    <w:p>
      <w:pPr>
        <w:spacing w:after="120"/>
      </w:pPr>
      <w:r>
        <w:rPr>
          <w:rFonts w:ascii="Consolas" w:hAnsi="Consolas"/>
          <w:sz w:val="15"/>
        </w:rPr>
        <w:t>b2 b3 b4 b5 b7 b8 b9 b13 b15 b17 b21 b22 b24 b25 b26 b27 b28 b29 b30 b31 b32 b33 b35 b36 b37 b38 b39 b42 b43 b44 b45 b46 b71 b73 b74 b76 b77 b79 b81 b82 b84 b86 b87 b88 b89 b90 b91 b92 b93 b142 b143 b145 b148 b150 b151 b153 b154 b155 b156 b157 b158 b159 b161 b163 b165 b181 b182 b183 b192 b209 b217 b219 b220 b222 b230 b240 b258 b271 b299 b321 b327 b329 b351 b353 b357 b366 b379 b387 b400 b424 b429 b432 b460 b462 b470 b473 b484 b494 b497</w:t>
      </w:r>
    </w:p>
    <w:p>
      <w:pPr>
        <w:spacing w:after="20"/>
      </w:pPr>
      <w:r>
        <w:rPr>
          <w:b/>
          <w:sz w:val="18"/>
        </w:rPr>
        <w:t>Relaxed anatomy arm (86)</w:t>
      </w:r>
    </w:p>
    <w:p>
      <w:pPr>
        <w:spacing w:after="120"/>
      </w:pPr>
      <w:r>
        <w:rPr>
          <w:rFonts w:ascii="Consolas" w:hAnsi="Consolas"/>
          <w:sz w:val="15"/>
        </w:rPr>
        <w:t>b2 b3 b4 b5 b6 b7 b8 b9 b12 b13 b15 b17 b21 b22 b24 b25 b26 b27 b28 b29 b30 b31 b32 b33 b35 b36 b37 b38 b39 b42 b43 b44 b45 b46 b47 b49 b50 b51 b52 b55 b56 b58 b59 b61 b62 b63 b66 b68 b69 b94 b95 b96 b97 b98 b167 b182 b183 b192 b199 b209 b219 b220 b222 b230 b240 b258 b265 b299 b327 b329 b335 b351 b353 b357 b366 b387 b392 b400 b429 b443 b460 b462 b470 b473 b494 b497</w:t>
      </w:r>
    </w:p>
    <w:p>
      <w:pPr>
        <w:spacing w:after="20"/>
      </w:pPr>
      <w:r>
        <w:rPr>
          <w:b/>
          <w:sz w:val="18"/>
        </w:rPr>
        <w:t>Strict key-preserving base (92)</w:t>
      </w:r>
    </w:p>
    <w:p>
      <w:pPr>
        <w:spacing w:after="120"/>
      </w:pPr>
      <w:r>
        <w:rPr>
          <w:rFonts w:ascii="Consolas" w:hAnsi="Consolas"/>
          <w:sz w:val="15"/>
        </w:rPr>
        <w:t>b2 b3 b4 b6 b8 b9 b12 b13 b15 b17 b21 b24 b26 b27 b28 b29 b30 b31 b33 b35 b36 b38 b42 b43 b44 b45 b46 b49 b50 b52 b58 b62 b63 b66 b68 b69 b73 b74 b77 b81 b82 b83 b84 b85 b86 b87 b90 b91 b92 b93 b94 b95 b96 b97 b99 b102 b104 b105 b107 b109 b110 b111 b113 b114 b115 b116 b133 b143 b146 b150 b151 b153 b155 b156 b159 b163 b167 b182 b209 b258 b299 b321 b329 b353 b357 b379 b387 b392 b429 b460 b470 b473</w:t>
      </w:r>
    </w:p>
    <w:p>
      <w:pPr>
        <w:spacing w:after="20"/>
      </w:pPr>
      <w:r>
        <w:rPr>
          <w:b/>
          <w:sz w:val="18"/>
        </w:rPr>
        <w:t>Relaxed key-preserving base (148)</w:t>
      </w:r>
    </w:p>
    <w:p>
      <w:pPr>
        <w:spacing w:after="120"/>
      </w:pPr>
      <w:r>
        <w:rPr>
          <w:rFonts w:ascii="Consolas" w:hAnsi="Consolas"/>
          <w:sz w:val="15"/>
        </w:rPr>
        <w:t>b2 b3 b4 b5 b6 b7 b8 b9 b12 b13 b15 b17 b21 b22 b24 b25 b26 b27 b28 b29 b30 b31 b32 b33 b35 b36 b37 b38 b39 b42 b43 b44 b45 b46 b47 b49 b50 b51 b52 b54 b55 b56 b58 b59 b61 b62 b63 b66 b68 b69 b71 b73 b74 b76 b77 b79 b81 b82 b83 b84 b85 b86 b87 b88 b89 b90 b91 b92 b93 b94 b95 b96 b97 b98 b99 b102 b104 b105 b106 b107 b109 b110 b111 b112 b113 b114 b115 b116 b133 b135 b136 b142 b143 b145 b146 b148 b150 b151 b153 b154 b155 b156 b157 b158 b159 b161 b163 b165 b167 b181 b182 b183 b192 b199 b209 b217 b219 b220 b222 b230 b240 b258 b265 b271 b299 b321 b327 b329 b335 b351 b353 b357 b366 b379 b387 b392 b400 b424 b429 b432 b443 b460 b462 b470 b473 b484 b494 b497</w:t>
      </w:r>
    </w:p>
    <w:p>
      <w:r>
        <w:rPr>
          <w:b w:val="0"/>
          <w:i/>
          <w:sz w:val="18"/>
        </w:rPr>
        <w:t>Per-item eligibility verdicts, the rejecting guard for every excluded item, and the full control and manipulated texts for every generated row are in canonical.json under the keys 'items' and 'generated'.</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40"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Calibri" w:hAnsi="Calibri"/>
      <w:b/>
      <w:bCs/>
      <w:color w:val="1A1A1A"/>
      <w:sz w:val="25"/>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1A1A1A"/>
      <w:sz w:val="21"/>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A1A1A"/>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