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pPr>
      <w:r>
        <w:rPr>
          <w:rFonts w:ascii="Arial" w:cs="Arial" w:eastAsia="Arial" w:hAnsi="Arial"/>
          <w:b/>
          <w:bCs/>
          <w:color w:val="E2521D"/>
          <w:sz w:val="26"/>
          <w:szCs w:val="26"/>
        </w:rPr>
        <w:t xml:space="preserve">DEFINICIÓN DEL MVP</w:t>
      </w:r>
    </w:p>
    <w:p>
      <w:pPr>
        <w:spacing w:after="80"/>
      </w:pPr>
      <w:r>
        <w:rPr>
          <w:b/>
          <w:bCs/>
          <w:color w:val="1A1A1A"/>
          <w:sz w:val="50"/>
          <w:szCs w:val="50"/>
        </w:rPr>
        <w:t xml:space="preserve">Plataforma de compraventa de segunda mano</w:t>
      </w:r>
    </w:p>
    <w:p>
      <w:pPr>
        <w:spacing w:after="240"/>
      </w:pPr>
      <w:r>
        <w:rPr>
          <w:color w:val="595959"/>
          <w:sz w:val="28"/>
          <w:szCs w:val="28"/>
        </w:rPr>
        <w:t xml:space="preserve">Alcance cerrado y reglas de negocio</w:t>
      </w:r>
    </w:p>
    <w:p>
      <w:pPr>
        <w:pBdr>
          <w:bottom w:val="single" w:color="E2521D" w:sz="18" w:space="6"/>
        </w:pBdr>
        <w:spacing w:after="360"/>
      </w:pPr>
      <w:r>
        <w:t xml:space="preserve"/>
      </w:r>
    </w:p>
    <w:p>
      <w:pPr>
        <w:spacing w:after="60"/>
      </w:pPr>
      <w:r>
        <w:rPr>
          <w:b/>
          <w:bCs/>
          <w:color w:val="595959"/>
          <w:sz w:val="22"/>
          <w:szCs w:val="22"/>
        </w:rPr>
        <w:t xml:space="preserve">Bucle de valor:  </w:t>
      </w:r>
      <w:r>
        <w:rPr>
          <w:color w:val="1A1A1A"/>
          <w:sz w:val="22"/>
          <w:szCs w:val="22"/>
        </w:rPr>
        <w:t xml:space="preserve">publicar → buscar → ver → contactar</w:t>
      </w:r>
    </w:p>
    <w:p>
      <w:pPr>
        <w:spacing w:after="60"/>
      </w:pPr>
      <w:r>
        <w:rPr>
          <w:b/>
          <w:bCs/>
          <w:color w:val="595959"/>
          <w:sz w:val="22"/>
          <w:szCs w:val="22"/>
        </w:rPr>
        <w:t xml:space="preserve">Corresponde a:  </w:t>
      </w:r>
      <w:r>
        <w:rPr>
          <w:color w:val="1A1A1A"/>
          <w:sz w:val="22"/>
          <w:szCs w:val="22"/>
        </w:rPr>
        <w:t xml:space="preserve">fases 0 a 5 de la hoja de ruta</w:t>
      </w:r>
    </w:p>
    <w:p>
      <w:pPr>
        <w:spacing w:before="2600"/>
      </w:pPr>
      <w:r>
        <w:rPr>
          <w:i/>
          <w:iCs/>
          <w:color w:val="595959"/>
          <w:sz w:val="20"/>
          <w:szCs w:val="20"/>
        </w:rPr>
        <w:t xml:space="preserve">Documento de especificación de producto</w:t>
      </w:r>
    </w:p>
    <w:p>
      <w:r>
        <w:br w:type="page"/>
      </w:r>
    </w:p>
    <w:p>
      <w:pPr>
        <w:sectPr>
          <w:pgSz w:w="12240" w:h="15840" w:orient="portrait"/>
          <w:pgMar w:top="1440" w:right="1440" w:bottom="1440" w:left="1440" w:header="708" w:footer="708" w:gutter="0"/>
          <w:pgNumType/>
          <w:docGrid w:linePitch="360"/>
        </w:sectPr>
      </w:pPr>
    </w:p>
    <w:p>
      <w:pPr>
        <w:spacing w:after="60"/>
      </w:pPr>
      <w:r>
        <w:rPr>
          <w:b/>
          <w:bCs/>
          <w:color w:val="1A1A1A"/>
          <w:sz w:val="32"/>
          <w:szCs w:val="32"/>
        </w:rPr>
        <w:t xml:space="preserve">Índice</w:t>
      </w:r>
    </w:p>
    <w:p>
      <w:pPr>
        <w:pBdr>
          <w:bottom w:val="single" w:color="E2521D" w:sz="12" w:space="4"/>
        </w:pBdr>
        <w:spacing w:after="260"/>
      </w:pPr>
      <w:r>
        <w:t xml:space="preserve"/>
      </w:r>
    </w:p>
    <w:p>
      <w:pPr>
        <w:tabs>
          <w:tab w:val="right" w:pos="9360" w:leader="dot"/>
        </w:tabs>
        <w:spacing w:after="130" w:line="300"/>
      </w:pPr>
      <w:r>
        <w:rPr>
          <w:color w:val="1A1A1A"/>
          <w:sz w:val="22"/>
          <w:szCs w:val="22"/>
        </w:rPr>
        <w:t xml:space="preserve">1.  Objetivo del MVP</w:t>
      </w:r>
      <w:r>
        <w:rPr>
          <w:color w:val="595959"/>
          <w:sz w:val="22"/>
          <w:szCs w:val="22"/>
        </w:rPr>
        <w:t xml:space="preserve">	3</w:t>
      </w:r>
    </w:p>
    <w:p>
      <w:pPr>
        <w:tabs>
          <w:tab w:val="right" w:pos="9360" w:leader="dot"/>
        </w:tabs>
        <w:spacing w:after="130" w:line="300"/>
      </w:pPr>
      <w:r>
        <w:rPr>
          <w:color w:val="1A1A1A"/>
          <w:sz w:val="22"/>
          <w:szCs w:val="22"/>
        </w:rPr>
        <w:t xml:space="preserve">2.  Dentro del alcance</w:t>
      </w:r>
      <w:r>
        <w:rPr>
          <w:color w:val="595959"/>
          <w:sz w:val="22"/>
          <w:szCs w:val="22"/>
        </w:rPr>
        <w:t xml:space="preserve">	3</w:t>
      </w:r>
    </w:p>
    <w:p>
      <w:pPr>
        <w:tabs>
          <w:tab w:val="right" w:pos="9360" w:leader="dot"/>
        </w:tabs>
        <w:spacing w:after="130" w:line="300"/>
      </w:pPr>
      <w:r>
        <w:rPr>
          <w:color w:val="1A1A1A"/>
          <w:sz w:val="22"/>
          <w:szCs w:val="22"/>
        </w:rPr>
        <w:t xml:space="preserve">3.  Fuera del alcance</w:t>
      </w:r>
      <w:r>
        <w:rPr>
          <w:color w:val="595959"/>
          <w:sz w:val="22"/>
          <w:szCs w:val="22"/>
        </w:rPr>
        <w:t xml:space="preserve">	3</w:t>
      </w:r>
    </w:p>
    <w:p>
      <w:pPr>
        <w:tabs>
          <w:tab w:val="right" w:pos="9360" w:leader="dot"/>
        </w:tabs>
        <w:spacing w:after="130" w:line="300"/>
      </w:pPr>
      <w:r>
        <w:rPr>
          <w:color w:val="1A1A1A"/>
          <w:sz w:val="22"/>
          <w:szCs w:val="22"/>
        </w:rPr>
        <w:t xml:space="preserve">4.  Reglas de negocio (confirmadas)</w:t>
      </w:r>
      <w:r>
        <w:rPr>
          <w:color w:val="595959"/>
          <w:sz w:val="22"/>
          <w:szCs w:val="22"/>
        </w:rPr>
        <w:t xml:space="preserve">	4</w:t>
      </w:r>
    </w:p>
    <w:p>
      <w:pPr>
        <w:tabs>
          <w:tab w:val="right" w:pos="9360" w:leader="dot"/>
        </w:tabs>
        <w:spacing w:after="130" w:line="300"/>
      </w:pPr>
      <w:r>
        <w:rPr>
          <w:color w:val="1A1A1A"/>
          <w:sz w:val="22"/>
          <w:szCs w:val="22"/>
        </w:rPr>
        <w:t xml:space="preserve">5.  Criterios de finalización</w:t>
      </w:r>
      <w:r>
        <w:rPr>
          <w:color w:val="595959"/>
          <w:sz w:val="22"/>
          <w:szCs w:val="22"/>
        </w:rPr>
        <w:t xml:space="preserve">	5</w:t>
      </w:r>
    </w:p>
    <w:p>
      <w:pPr>
        <w:tabs>
          <w:tab w:val="right" w:pos="9360" w:leader="dot"/>
        </w:tabs>
        <w:spacing w:after="130" w:line="300"/>
      </w:pPr>
      <w:r>
        <w:rPr>
          <w:color w:val="1A1A1A"/>
          <w:sz w:val="22"/>
          <w:szCs w:val="22"/>
        </w:rPr>
        <w:t xml:space="preserve">6.  Decisiones técnicas</w:t>
      </w:r>
      <w:r>
        <w:rPr>
          <w:color w:val="595959"/>
          <w:sz w:val="22"/>
          <w:szCs w:val="22"/>
        </w:rPr>
        <w:t xml:space="preserve">	5</w:t>
      </w:r>
    </w:p>
    <w:p>
      <w:r>
        <w:br w:type="page"/>
      </w:r>
    </w:p>
    <w:p>
      <w:pPr>
        <w:pStyle w:val="Heading1"/>
      </w:pPr>
      <w:r>
        <w:t xml:space="preserve">1. Objetivo del MVP</w:t>
      </w:r>
    </w:p>
    <w:p>
      <w:pPr>
        <w:pBdr>
          <w:bottom w:val="single" w:color="E2521D" w:sz="12" w:space="1"/>
        </w:pBdr>
        <w:spacing w:after="160" w:before="40"/>
      </w:pPr>
      <w:r>
        <w:t xml:space="preserve"/>
      </w:r>
    </w:p>
    <w:p>
      <w:pPr>
        <w:spacing w:after="140" w:line="276"/>
        <w:jc w:val="both"/>
      </w:pPr>
      <w:r>
        <w:t xml:space="preserve">El MVP (producto mínimo viable) tiene un único objetivo: poner en funcionamiento el bucle central de la plataforma —publicar un anuncio, encontrarlo mediante búsqueda, consultarlo y contactar con el vendedor— de la forma más delgada posible que permita validarlo con usuarios reales.</w:t>
      </w:r>
    </w:p>
    <w:p>
      <w:pPr>
        <w:spacing w:after="140" w:line="276"/>
        <w:jc w:val="both"/>
      </w:pPr>
      <w:r>
        <w:t xml:space="preserve">La razón es estratégica: el riesgo principal de un marketplace </w:t>
      </w:r>
      <w:r>
        <w:rPr>
          <w:b/>
          <w:bCs/>
        </w:rPr>
        <w:t xml:space="preserve">no es técnico, sino de liquidez</w:t>
      </w:r>
      <w:r>
        <w:t xml:space="preserve">. Sin vendedores no hay compradores y sin compradores no hay vendedores. Por eso el MVP deja deliberadamente fuera todo lo que no sea imprescindible para ese bucle, de modo que se pueda lanzar pronto, en un nicho concreto, y comprobar si la gente realmente publica y contacta antes de invertir en funcionalidades de ampliación.</w:t>
      </w:r>
    </w:p>
    <w:p>
      <w:pPr>
        <w:pStyle w:val="Heading1"/>
      </w:pPr>
      <w:r>
        <w:t xml:space="preserve">2. Dentro del alcance</w:t>
      </w:r>
    </w:p>
    <w:p>
      <w:pPr>
        <w:pBdr>
          <w:bottom w:val="single" w:color="E2521D" w:sz="12" w:space="1"/>
        </w:pBdr>
        <w:spacing w:after="160" w:before="40"/>
      </w:pPr>
      <w:r>
        <w:t xml:space="preserve"/>
      </w:r>
    </w:p>
    <w:p>
      <w:pPr>
        <w:spacing w:after="140" w:line="276"/>
        <w:jc w:val="both"/>
      </w:pPr>
      <w:r>
        <w:t xml:space="preserve">El MVP incluye las siguientes funcionalidades, agrupadas por área. Se corresponden con las fases 0 a 5 de la hoja de ruta.</w:t>
      </w:r>
    </w:p>
    <w:p>
      <w:pPr>
        <w:pStyle w:val="Heading2"/>
      </w:pPr>
      <w:r>
        <w:t xml:space="preserve">Cuentas de usuario</w:t>
      </w:r>
    </w:p>
    <w:p>
      <w:pPr>
        <w:pStyle w:val="ListParagraph"/>
        <w:numPr>
          <w:ilvl w:val="0"/>
          <w:numId w:val="2"/>
        </w:numPr>
        <w:spacing w:after="80" w:line="270"/>
      </w:pPr>
      <w:r>
        <w:t xml:space="preserve">Registro con email y contraseña, e inicio de sesión.</w:t>
      </w:r>
    </w:p>
    <w:p>
      <w:pPr>
        <w:pStyle w:val="ListParagraph"/>
        <w:numPr>
          <w:ilvl w:val="0"/>
          <w:numId w:val="2"/>
        </w:numPr>
        <w:spacing w:after="80" w:line="270"/>
      </w:pPr>
      <w:r>
        <w:t xml:space="preserve">Gestión de la sesión y protección de las áreas privadas.</w:t>
      </w:r>
    </w:p>
    <w:p>
      <w:pPr>
        <w:pStyle w:val="ListParagraph"/>
        <w:numPr>
          <w:ilvl w:val="0"/>
          <w:numId w:val="2"/>
        </w:numPr>
        <w:spacing w:after="80" w:line="270"/>
      </w:pPr>
      <w:r>
        <w:t xml:space="preserve">Perfil propio con datos básicos.</w:t>
      </w:r>
    </w:p>
    <w:p>
      <w:pPr>
        <w:pStyle w:val="Heading2"/>
      </w:pPr>
      <w:r>
        <w:t xml:space="preserve">Anuncios</w:t>
      </w:r>
    </w:p>
    <w:p>
      <w:pPr>
        <w:pStyle w:val="ListParagraph"/>
        <w:numPr>
          <w:ilvl w:val="0"/>
          <w:numId w:val="2"/>
        </w:numPr>
        <w:spacing w:after="80" w:line="270"/>
      </w:pPr>
      <w:r>
        <w:t xml:space="preserve">Publicar un anuncio con categoría, atributos propios de la categoría, precio, fotografías y ubicación.</w:t>
      </w:r>
    </w:p>
    <w:p>
      <w:pPr>
        <w:pStyle w:val="ListParagraph"/>
        <w:numPr>
          <w:ilvl w:val="0"/>
          <w:numId w:val="2"/>
        </w:numPr>
        <w:spacing w:after="80" w:line="270"/>
      </w:pPr>
      <w:r>
        <w:t xml:space="preserve">Editar, marcar como reservado o vendido, y despublicar los anuncios propios.</w:t>
      </w:r>
    </w:p>
    <w:p>
      <w:pPr>
        <w:pStyle w:val="ListParagraph"/>
        <w:numPr>
          <w:ilvl w:val="0"/>
          <w:numId w:val="2"/>
        </w:numPr>
        <w:spacing w:after="80" w:line="270"/>
      </w:pPr>
      <w:r>
        <w:t xml:space="preserve">Ficha de anuncio pública renderizada en servidor (indexable por buscadores).</w:t>
      </w:r>
    </w:p>
    <w:p>
      <w:pPr>
        <w:pStyle w:val="ListParagraph"/>
        <w:numPr>
          <w:ilvl w:val="0"/>
          <w:numId w:val="2"/>
        </w:numPr>
        <w:spacing w:after="80" w:line="270"/>
      </w:pPr>
      <w:r>
        <w:t xml:space="preserve">Caducidad automática de los anuncios.</w:t>
      </w:r>
    </w:p>
    <w:p>
      <w:pPr>
        <w:pStyle w:val="Heading2"/>
      </w:pPr>
      <w:r>
        <w:t xml:space="preserve">Descubrimiento</w:t>
      </w:r>
    </w:p>
    <w:p>
      <w:pPr>
        <w:pStyle w:val="ListParagraph"/>
        <w:numPr>
          <w:ilvl w:val="0"/>
          <w:numId w:val="2"/>
        </w:numPr>
        <w:spacing w:after="80" w:line="270"/>
      </w:pPr>
      <w:r>
        <w:t xml:space="preserve">Navegación por el árbol de categorías y listados.</w:t>
      </w:r>
    </w:p>
    <w:p>
      <w:pPr>
        <w:pStyle w:val="ListParagraph"/>
        <w:numPr>
          <w:ilvl w:val="0"/>
          <w:numId w:val="2"/>
        </w:numPr>
        <w:spacing w:after="80" w:line="270"/>
      </w:pPr>
      <w:r>
        <w:t xml:space="preserve">Búsqueda por texto con tolerancia a erratas, filtros y facetas combinables.</w:t>
      </w:r>
    </w:p>
    <w:p>
      <w:pPr>
        <w:pStyle w:val="ListParagraph"/>
        <w:numPr>
          <w:ilvl w:val="0"/>
          <w:numId w:val="2"/>
        </w:numPr>
        <w:spacing w:after="80" w:line="270"/>
      </w:pPr>
      <w:r>
        <w:t xml:space="preserve">Búsqueda por proximidad geográfica.</w:t>
      </w:r>
    </w:p>
    <w:p>
      <w:pPr>
        <w:pStyle w:val="Heading2"/>
      </w:pPr>
      <w:r>
        <w:t xml:space="preserve">Contacto</w:t>
      </w:r>
    </w:p>
    <w:p>
      <w:pPr>
        <w:pStyle w:val="ListParagraph"/>
        <w:numPr>
          <w:ilvl w:val="0"/>
          <w:numId w:val="2"/>
        </w:numPr>
        <w:spacing w:after="80" w:line="270"/>
      </w:pPr>
      <w:r>
        <w:t xml:space="preserve">Mensajería en tiempo real entre comprador y vendedor, asociada a cada anuncio.</w:t>
      </w:r>
    </w:p>
    <w:p>
      <w:pPr>
        <w:pStyle w:val="Heading1"/>
      </w:pPr>
      <w:r>
        <w:t xml:space="preserve">3. Fuera del alcance</w:t>
      </w:r>
    </w:p>
    <w:p>
      <w:pPr>
        <w:pBdr>
          <w:bottom w:val="single" w:color="E2521D" w:sz="12" w:space="1"/>
        </w:pBdr>
        <w:spacing w:after="160" w:before="40"/>
      </w:pPr>
      <w:r>
        <w:t xml:space="preserve"/>
      </w:r>
    </w:p>
    <w:p>
      <w:pPr>
        <w:spacing w:after="140" w:line="276"/>
        <w:jc w:val="both"/>
      </w:pPr>
      <w:r>
        <w:t xml:space="preserve">Lo siguiente queda explícitamente excluido del MVP. No es que se descarte, sino que se pospone a fases posteriores para no retrasar el lanzamiento del bucle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Funcionalidad excluida del MVP</w:t>
            </w:r>
          </w:p>
        </w:tc>
        <w:tc>
          <w:tcPr>
            <w:tcW w:type="dxa" w:w="376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Se aborda en</w:t>
            </w:r>
          </w:p>
        </w:tc>
      </w:tr>
      <w:tr>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Favoritos / anuncios guardados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Fase 6 — Confianza y retención</w:t>
            </w:r>
          </w:p>
        </w:tc>
      </w:tr>
      <w:tr>
        <w:tc>
          <w:tcPr>
            <w:tcW w:type="dxa" w:w="56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Valoraciones y reputación de usuarios</w:t>
            </w:r>
          </w:p>
        </w:tc>
        <w:tc>
          <w:tcPr>
            <w:tcW w:type="dxa" w:w="37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Fase 6 — Confianza y retención</w:t>
            </w:r>
          </w:p>
        </w:tc>
      </w:tr>
      <w:tr>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Perfil público enriquecido de vendedor</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Fase 6 — Confianza y retención</w:t>
            </w:r>
          </w:p>
        </w:tc>
      </w:tr>
      <w:tr>
        <w:tc>
          <w:tcPr>
            <w:tcW w:type="dxa" w:w="56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Backoffice de administración completo</w:t>
            </w:r>
          </w:p>
        </w:tc>
        <w:tc>
          <w:tcPr>
            <w:tcW w:type="dxa" w:w="37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Fase 7 — Operación</w:t>
            </w:r>
          </w:p>
        </w:tc>
      </w:tr>
      <w:tr>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Sistema de moderación y reportes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Fase 7 — Operación</w:t>
            </w:r>
          </w:p>
        </w:tc>
      </w:tr>
      <w:tr>
        <w:tc>
          <w:tcPr>
            <w:tcW w:type="dxa" w:w="56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Anuncios destacados / monetización</w:t>
            </w:r>
          </w:p>
        </w:tc>
        <w:tc>
          <w:tcPr>
            <w:tcW w:type="dxa" w:w="37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Posterior (modelo de negocio)</w:t>
            </w:r>
          </w:p>
        </w:tc>
      </w:tr>
      <w:tr>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Aplicación móvil nativa (iOS/Android)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Posterior (post-validación)</w:t>
            </w:r>
          </w:p>
        </w:tc>
      </w:tr>
      <w:tr>
        <w:tc>
          <w:tcPr>
            <w:tcW w:type="dxa" w:w="56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Inicio de sesión social (Google, etc.)</w:t>
            </w:r>
          </w:p>
        </w:tc>
        <w:tc>
          <w:tcPr>
            <w:tcW w:type="dxa" w:w="37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Posterior (opcional)</w:t>
            </w:r>
          </w:p>
        </w:tc>
      </w:tr>
      <w:tr>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Optimizaciones de escala (réplicas, microservicios)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Fase 8 — Pulido y escala</w:t>
            </w:r>
          </w:p>
        </w:tc>
      </w:tr>
    </w:tbl>
    <w:p>
      <w:pPr>
        <w:spacing w:after="80"/>
      </w:pPr>
      <w:r>
        <w:t xml:space="preserve"/>
      </w:r>
    </w:p>
    <w:p>
      <w:pPr>
        <w:pStyle w:val="Heading1"/>
      </w:pPr>
      <w:r>
        <w:t xml:space="preserve">4. Reglas de negocio (confirmadas)</w:t>
      </w:r>
    </w:p>
    <w:p>
      <w:pPr>
        <w:pBdr>
          <w:bottom w:val="single" w:color="E2521D" w:sz="12" w:space="1"/>
        </w:pBdr>
        <w:spacing w:after="160" w:before="40"/>
      </w:pPr>
      <w:r>
        <w:t xml:space="preserve"/>
      </w:r>
    </w:p>
    <w:p>
      <w:pPr>
        <w:spacing w:after="140" w:line="276"/>
        <w:jc w:val="both"/>
      </w:pPr>
      <w:r>
        <w:t xml:space="preserve">Las siguientes reglas de negocio han sido </w:t>
      </w:r>
      <w:r>
        <w:rPr>
          <w:b/>
          <w:bCs/>
        </w:rPr>
        <w:t xml:space="preserve">revisadas y confirmadas</w:t>
      </w:r>
      <w:r>
        <w:t xml:space="preserve">. Constituyen la especificación definitiva que el desarrollo debe respetar para 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Aspecto</w:t>
            </w:r>
          </w:p>
        </w:tc>
        <w:tc>
          <w:tcPr>
            <w:tcW w:type="dxa" w:w="446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Regla</w:t>
            </w:r>
          </w:p>
        </w:tc>
        <w:tc>
          <w:tcPr>
            <w:tcW w:type="dxa" w:w="220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center"/>
            </w:pPr>
            <w:r>
              <w:rPr>
                <w:b/>
                <w:bCs/>
                <w:color w:val="FFFFFF"/>
                <w:sz w:val="19"/>
                <w:szCs w:val="19"/>
              </w:rPr>
              <w:t xml:space="preserve">Estado</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Caducidad de anuncios</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60 días desde la publicación, renovable por el usuario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Fotos por anuncio</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Mínimo 1, máximo 15</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Anuncios activos por usuario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Sin límite en el MVP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Momento de moderación</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Publicación inmediata; revisión reactiva ante reportes (sistema completo en Fase 7)</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Precio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Obligatorio; se permiten «Gratis» (0 €) y «A convenir»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Productos y servicios</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Ambos, mismo flujo, distinguidos por tipo y categoría</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Edición de anuncios</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El propietario puede editar mientras el anuncio esté activo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Estados del anuncio</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Borrador · Activo · Reservado · Vendido · Caducado</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Ubicación</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Obligatoria (ciudad/provincia); búsqueda por proximidad disponible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Registro</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Email + contraseña, con verificación de email; sin login social en el MVP</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Contacto entre usuarios</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Solo mensajería interna; no se muestran teléfono ni email directos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Mensajería</w:t>
            </w:r>
          </w:p>
        </w:tc>
        <w:tc>
          <w:tcPr>
            <w:tcW w:type="dxa" w:w="44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Solo usuarios registrados; una conversación por anuncio y comprador</w:t>
            </w:r>
          </w:p>
        </w:tc>
        <w:tc>
          <w:tcPr>
            <w:tcW w:type="dxa" w:w="22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center"/>
            </w:pPr>
            <w:r>
              <w:rPr>
                <w:b/>
                <w:bCs/>
                <w:color w:val="2E7D32"/>
                <w:sz w:val="18"/>
                <w:szCs w:val="18"/>
              </w:rPr>
              <w:t xml:space="preserve">✓ Confirmada</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Idioma y divisa</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Español; precios en euros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b/>
                <w:bCs/>
                <w:color w:val="2E7D32"/>
                <w:sz w:val="18"/>
                <w:szCs w:val="18"/>
              </w:rPr>
              <w:t xml:space="preserve">✓ Confirmada</w:t>
            </w:r>
          </w:p>
        </w:tc>
      </w:tr>
    </w:tbl>
    <w:p>
      <w:pPr>
        <w:spacing w:after="80"/>
      </w:pPr>
      <w:r>
        <w:t xml:space="preserve"/>
      </w:r>
    </w:p>
    <w:p>
      <w:pPr>
        <w:pBdr>
          <w:left w:val="single" w:color="E2521D" w:sz="24" w:space="14"/>
        </w:pBdr>
        <w:shd w:fill="FBEEE8" w:val="clear"/>
        <w:spacing w:after="200" w:before="160" w:line="276"/>
      </w:pPr>
      <w:r>
        <w:rPr>
          <w:b/>
          <w:bCs/>
          <w:color w:val="A8390F"/>
          <w:sz w:val="22"/>
          <w:szCs w:val="22"/>
        </w:rPr>
        <w:t xml:space="preserve">Nota sobre la moderación.  </w:t>
      </w:r>
      <w:r>
        <w:rPr>
          <w:color w:val="1A1A1A"/>
          <w:sz w:val="22"/>
          <w:szCs w:val="22"/>
        </w:rPr>
        <w:t xml:space="preserve">Conforme a la regla confirmada, los anuncios se publican de inmediato y la revisión es reactiva (filtros automáticos + reportes), para no frenar la liquidez. En el MVP basta con que un administrador pueda retirar manualmente un anuncio problemático; el sistema de moderación completo llega en la Fase 7.</w:t>
      </w:r>
    </w:p>
    <w:p>
      <w:pPr>
        <w:pStyle w:val="Heading1"/>
      </w:pPr>
      <w:r>
        <w:t xml:space="preserve">5. Criterios de finalización</w:t>
      </w:r>
    </w:p>
    <w:p>
      <w:pPr>
        <w:pBdr>
          <w:bottom w:val="single" w:color="E2521D" w:sz="12" w:space="1"/>
        </w:pBdr>
        <w:spacing w:after="160" w:before="40"/>
      </w:pPr>
      <w:r>
        <w:t xml:space="preserve"/>
      </w:r>
    </w:p>
    <w:p>
      <w:pPr>
        <w:spacing w:after="140" w:line="276"/>
        <w:jc w:val="both"/>
      </w:pPr>
      <w:r>
        <w:t xml:space="preserve">El MVP se considera terminado cuando todo lo siguiente funciona de extremo a extremo en un entorno desplegado:</w:t>
      </w:r>
    </w:p>
    <w:p>
      <w:pPr>
        <w:pStyle w:val="ListParagraph"/>
        <w:numPr>
          <w:ilvl w:val="0"/>
          <w:numId w:val="3"/>
        </w:numPr>
        <w:spacing w:after="80" w:line="270"/>
      </w:pPr>
      <w:r>
        <w:t xml:space="preserve">Un usuario puede registrarse, verificar su email, iniciar sesión y mantener la sesión.</w:t>
      </w:r>
    </w:p>
    <w:p>
      <w:pPr>
        <w:pStyle w:val="ListParagraph"/>
        <w:numPr>
          <w:ilvl w:val="0"/>
          <w:numId w:val="3"/>
        </w:numPr>
        <w:spacing w:after="80" w:line="270"/>
      </w:pPr>
      <w:r>
        <w:t xml:space="preserve">Un usuario puede publicar un anuncio con categoría, atributos, fotos, precio y ubicación.</w:t>
      </w:r>
    </w:p>
    <w:p>
      <w:pPr>
        <w:pStyle w:val="ListParagraph"/>
        <w:numPr>
          <w:ilvl w:val="0"/>
          <w:numId w:val="3"/>
        </w:numPr>
        <w:spacing w:after="80" w:line="270"/>
      </w:pPr>
      <w:r>
        <w:t xml:space="preserve">El propietario puede editar, reservar, marcar como vendido y despublicar sus anuncios, y estos caducan solos.</w:t>
      </w:r>
    </w:p>
    <w:p>
      <w:pPr>
        <w:pStyle w:val="ListParagraph"/>
        <w:numPr>
          <w:ilvl w:val="0"/>
          <w:numId w:val="3"/>
        </w:numPr>
        <w:spacing w:after="80" w:line="270"/>
      </w:pPr>
      <w:r>
        <w:t xml:space="preserve">Cualquier visitante puede ver fichas y listados públicos renderizados en servidor e indexables.</w:t>
      </w:r>
    </w:p>
    <w:p>
      <w:pPr>
        <w:pStyle w:val="ListParagraph"/>
        <w:numPr>
          <w:ilvl w:val="0"/>
          <w:numId w:val="3"/>
        </w:numPr>
        <w:spacing w:after="80" w:line="270"/>
      </w:pPr>
      <w:r>
        <w:t xml:space="preserve">La búsqueda devuelve resultados relevantes con texto, filtros, facetas y proximidad geográfica.</w:t>
      </w:r>
    </w:p>
    <w:p>
      <w:pPr>
        <w:pStyle w:val="ListParagraph"/>
        <w:numPr>
          <w:ilvl w:val="0"/>
          <w:numId w:val="3"/>
        </w:numPr>
        <w:spacing w:after="80" w:line="270"/>
      </w:pPr>
      <w:r>
        <w:t xml:space="preserve">Comprador y vendedor pueden mantener una conversación en tiempo real sobre un anuncio.</w:t>
      </w:r>
    </w:p>
    <w:p>
      <w:pPr>
        <w:pStyle w:val="ListParagraph"/>
        <w:numPr>
          <w:ilvl w:val="0"/>
          <w:numId w:val="3"/>
        </w:numPr>
        <w:spacing w:after="80" w:line="270"/>
      </w:pPr>
      <w:r>
        <w:t xml:space="preserve">La aplicación está desplegada en un entorno accesible públicamente.</w:t>
      </w:r>
    </w:p>
    <w:p>
      <w:pPr>
        <w:pStyle w:val="Heading1"/>
      </w:pPr>
      <w:r>
        <w:t xml:space="preserve">6. Decisiones técnicas</w:t>
      </w:r>
    </w:p>
    <w:p>
      <w:pPr>
        <w:pBdr>
          <w:bottom w:val="single" w:color="E2521D" w:sz="12" w:space="1"/>
        </w:pBdr>
        <w:spacing w:after="160" w:before="40"/>
      </w:pPr>
      <w:r>
        <w:t xml:space="preserve"/>
      </w:r>
    </w:p>
    <w:p>
      <w:pPr>
        <w:spacing w:after="140" w:line="276"/>
        <w:jc w:val="both"/>
      </w:pPr>
      <w:r>
        <w:t xml:space="preserve">Las decisiones técnicas que afectan a varios módulos quedan cerradas como sigue. Esta tabla fija el stack de servicios e infraestructura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Decisión</w:t>
            </w:r>
          </w:p>
        </w:tc>
        <w:tc>
          <w:tcPr>
            <w:tcW w:type="dxa" w:w="270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Elección</w:t>
            </w:r>
          </w:p>
        </w:tc>
        <w:tc>
          <w:tcPr>
            <w:tcW w:type="dxa" w:w="4360"/>
            <w:tcBorders>
              <w:top w:val="single" w:color="DDDDDD" w:sz="1"/>
              <w:left w:val="single" w:color="DDDDDD" w:sz="1"/>
              <w:bottom w:val="single" w:color="DDDDDD" w:sz="1"/>
              <w:right w:val="single" w:color="DDDDDD" w:sz="1"/>
            </w:tcBorders>
            <w:shd w:fill="E2521D" w:val="clear"/>
            <w:tcMar>
              <w:top w:type="dxa" w:w="80"/>
              <w:left w:type="dxa" w:w="120"/>
              <w:bottom w:type="dxa" w:w="80"/>
              <w:right w:type="dxa" w:w="120"/>
            </w:tcMar>
            <w:vAlign w:val="center"/>
          </w:tcPr>
          <w:p>
            <w:pPr>
              <w:jc w:val="left"/>
            </w:pPr>
            <w:r>
              <w:rPr>
                <w:b/>
                <w:bCs/>
                <w:color w:val="FFFFFF"/>
                <w:sz w:val="19"/>
                <w:szCs w:val="19"/>
              </w:rPr>
              <w:t xml:space="preserve">Notas</w:t>
            </w:r>
          </w:p>
        </w:tc>
      </w:tr>
      <w:tr>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Estilo de API</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REST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NestJS genera la documentación OpenAPI/Swagger automáticamente</w:t>
            </w:r>
          </w:p>
        </w:tc>
      </w:tr>
      <w:tr>
        <w:tc>
          <w:tcPr>
            <w:tcW w:type="dxa" w:w="23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Almacenamiento de imágenes</w:t>
            </w:r>
          </w:p>
        </w:tc>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Cloudflare R2</w:t>
            </w:r>
          </w:p>
        </w:tc>
        <w:tc>
          <w:tcPr>
            <w:tcW w:type="dxa" w:w="43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Vía API S3; portable a MinIO si se desea autohospedar</w:t>
            </w:r>
          </w:p>
        </w:tc>
      </w:tr>
      <w:tr>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Mapas y geolocalización</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MapLibre GL + MapTiler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Datos de OpenStreetMap; la búsqueda por proximidad la resuelve Meilisearch</w:t>
            </w:r>
          </w:p>
        </w:tc>
      </w:tr>
      <w:tr>
        <w:tc>
          <w:tcPr>
            <w:tcW w:type="dxa" w:w="23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Email transaccional</w:t>
            </w:r>
          </w:p>
        </w:tc>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Resend</w:t>
            </w:r>
          </w:p>
        </w:tc>
        <w:tc>
          <w:tcPr>
            <w:tcW w:type="dxa" w:w="43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Plantillas con React Email; requiere configurar SPF, DKIM y DMARC</w:t>
            </w:r>
          </w:p>
        </w:tc>
      </w:tr>
      <w:tr>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Dominio</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DonDominio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b w:val="false"/>
                <w:bCs w:val="false"/>
                <w:color w:val="1A1A1A"/>
                <w:sz w:val="18"/>
                <w:szCs w:val="18"/>
              </w:rPr>
              <w:t xml:space="preserve">Registro del dominio y certificado SSL</w:t>
            </w:r>
          </w:p>
        </w:tc>
      </w:tr>
      <w:tr>
        <w:tc>
          <w:tcPr>
            <w:tcW w:type="dxa" w:w="23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Hosting y despliegue</w:t>
            </w:r>
          </w:p>
        </w:tc>
        <w:tc>
          <w:tcPr>
            <w:tcW w:type="dxa" w:w="270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VPS de Comvive</w:t>
            </w:r>
          </w:p>
        </w:tc>
        <w:tc>
          <w:tcPr>
            <w:tcW w:type="dxa" w:w="4360"/>
            <w:tcBorders>
              <w:top w:val="single" w:color="DDDDDD" w:sz="1"/>
              <w:left w:val="single" w:color="DDDDDD" w:sz="1"/>
              <w:bottom w:val="single" w:color="DDDDDD" w:sz="1"/>
              <w:right w:val="single" w:color="DDDDDD" w:sz="1"/>
            </w:tcBorders>
            <w:shd w:fill="FAF6F4" w:val="clear"/>
            <w:tcMar>
              <w:top w:type="dxa" w:w="80"/>
              <w:left w:type="dxa" w:w="120"/>
              <w:bottom w:type="dxa" w:w="80"/>
              <w:right w:type="dxa" w:w="120"/>
            </w:tcMar>
            <w:vAlign w:val="center"/>
          </w:tcPr>
          <w:p>
            <w:pPr>
              <w:jc w:val="left"/>
            </w:pPr>
            <w:r>
              <w:rPr>
                <w:b w:val="false"/>
                <w:bCs w:val="false"/>
                <w:color w:val="1A1A1A"/>
                <w:sz w:val="18"/>
                <w:szCs w:val="18"/>
              </w:rPr>
              <w:t xml:space="preserve">Despliegue con Docker Compose; datos e IP en España (RGPD); administración del servidor a cargo propio</w:t>
            </w:r>
          </w:p>
        </w:tc>
      </w:tr>
    </w:tbl>
    <w:p>
      <w:pPr>
        <w:spacing w:after="120"/>
      </w:pPr>
      <w:r>
        <w:t xml:space="preserve"/>
      </w:r>
    </w:p>
    <w:p>
      <w:pPr>
        <w:spacing w:after="140" w:line="276"/>
        <w:jc w:val="both"/>
      </w:pPr>
      <w:r>
        <w:rPr>
          <w:b/>
          <w:bCs/>
        </w:rPr>
        <w:t xml:space="preserve">Nota sobre el despliegue: </w:t>
      </w:r>
      <w:r>
        <w:t xml:space="preserve">al optar por un VPS en lugar de una plataforma gestionada, la administración del servidor (Docker, bases de datos, copias de seguridad, SSL y seguridad) corre por cuenta propia; conviene dimensionar el VPS con holgura de memoria (idealmente 4-8 GB) para PostgreSQL, Redis y Meilisearch, y prever varias sesiones de trabajo para el despliegue.</w:t>
      </w:r>
    </w:p>
    <w:p>
      <w:pPr>
        <w:spacing w:after="140" w:line="276"/>
        <w:jc w:val="both"/>
      </w:pPr>
      <w:r>
        <w:t xml:space="preserve">Con estas decisiones cerradas, para dar por terminada la fase de documentación solo resta confirmar las reglas de negocio (sección 4) y elaborar el mapa de pantallas y los flujos de usuario. Hecho eso, se puede arrancar la fase 0 (cimientos) con la primera ráfaga: el docker-compose de infraestructura local.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5"/>
        <w:szCs w:val="15"/>
      </w:rPr>
      <w:t xml:space="preserve">Alcance y reglas de negocio · fases 0-5</w:t>
    </w:r>
    <w:r>
      <w:rPr>
        <w:color w:val="595959"/>
        <w:sz w:val="15"/>
        <w:szCs w:val="15"/>
      </w:rPr>
      <w:t xml:space="preserve">	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521D" w:sz="6" w:space="4"/>
      </w:pBdr>
      <w:tabs>
        <w:tab w:val="right" w:pos="9360"/>
      </w:tabs>
    </w:pPr>
    <w:r>
      <w:rPr>
        <w:b/>
        <w:bCs/>
        <w:color w:val="E2521D"/>
        <w:sz w:val="16"/>
        <w:szCs w:val="16"/>
      </w:rPr>
      <w:t xml:space="preserve">Definición del MVP</w:t>
    </w:r>
    <w:r>
      <w:rPr>
        <w:color w:val="595959"/>
        <w:sz w:val="16"/>
        <w:szCs w:val="16"/>
      </w:rPr>
      <w:t xml:space="preserve">	Plataforma de compraventa de segunda 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E2521D"/>
      </w:r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A8390F"/>
      <w:sz w:val="30"/>
      <w:szCs w:val="30"/>
    </w:rPr>
  </w:style>
  <w:style w:type="paragraph" w:styleId="Heading2">
    <w:name w:val="Heading 2"/>
    <w:basedOn w:val="Normal"/>
    <w:next w:val="Normal"/>
    <w:qFormat/>
    <w:pPr>
      <w:spacing w:after="40" w:before="160"/>
      <w:outlineLvl w:val="1"/>
    </w:pPr>
    <w:rPr>
      <w:rFonts w:ascii="Arial" w:cs="Arial" w:eastAsia="Arial" w:hAnsi="Arial"/>
      <w:b/>
      <w:bCs/>
      <w:color w:val="E252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MVP — Plataforma de compraventa de segunda mano</dc:title>
  <dc:creator>Loudivision</dc:creator>
  <dc:description>Alcance cerrado y reglas de negocio</dc:description>
  <cp:lastModifiedBy>Un-named</cp:lastModifiedBy>
  <cp:revision>1</cp:revision>
  <dcterms:created xsi:type="dcterms:W3CDTF">2026-06-19T11:08:13.434Z</dcterms:created>
  <dcterms:modified xsi:type="dcterms:W3CDTF">2026-06-19T11:08:13.445Z</dcterms:modified>
</cp:coreProperties>
</file>

<file path=docProps/custom.xml><?xml version="1.0" encoding="utf-8"?>
<Properties xmlns="http://schemas.openxmlformats.org/officeDocument/2006/custom-properties" xmlns:vt="http://schemas.openxmlformats.org/officeDocument/2006/docPropsVTypes"/>
</file>