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600"/>
      </w:pPr>
    </w:p>
    <w:p>
      <w:pPr>
        <w:spacing w:after="80"/>
        <w:jc w:val="center"/>
      </w:pPr>
      <w:r>
        <w:rPr>
          <w:b/>
          <w:bCs/>
          <w:sz w:val="40"/>
          <w:szCs w:val="40"/>
        </w:rPr>
        <w:t>HOJA DE RUTA POR RÁFAGAS — HITO 3</w:t>
      </w:r>
    </w:p>
    <w:p>
      <w:pPr>
        <w:spacing w:after="240"/>
        <w:jc w:val="center"/>
      </w:pPr>
      <w:r>
        <w:rPr>
          <w:b/>
          <w:bCs/>
          <w:color w:val="2E75B6"/>
          <w:sz w:val="28"/>
          <w:szCs w:val="28"/>
        </w:rPr>
        <w:t>Plataforma de compraventa de segunda mano</w:t>
      </w:r>
    </w:p>
    <w:p>
      <w:pPr>
        <w:spacing w:after="320"/>
        <w:jc w:val="center"/>
      </w:pPr>
      <w:r>
        <w:rPr>
          <w:sz w:val="24"/>
          <w:szCs w:val="24"/>
        </w:rPr>
        <w:t>“Consolidación y engagement”</w:t>
      </w:r>
    </w:p>
    <w:p>
      <w:pPr>
        <w:spacing w:after="60"/>
        <w:jc w:val="center"/>
      </w:pPr>
      <w:r>
        <w:rPr>
          <w:b/>
          <w:bCs/>
        </w:rPr>
        <w:t xml:space="preserve">Método:  </w:t>
      </w:r>
      <w:r>
        <w:t>ráfagas acotadas</w:t>
      </w:r>
    </w:p>
    <w:p>
      <w:pPr>
        <w:spacing w:after="60"/>
        <w:jc w:val="center"/>
      </w:pPr>
      <w:r>
        <w:rPr>
          <w:b/>
          <w:bCs/>
        </w:rPr>
        <w:t xml:space="preserve">Alcance:  </w:t>
      </w:r>
      <w:r>
        <w:t>Fases F, V, TR y D  ·  ~13 ráfagas</w:t>
      </w:r>
    </w:p>
    <w:p>
      <w:pPr>
        <w:spacing w:after="60"/>
        <w:jc w:val="center"/>
      </w:pPr>
      <w:r>
        <w:rPr>
          <w:b/>
          <w:bCs/>
        </w:rPr>
        <w:t xml:space="preserve">Continuación de:  </w:t>
      </w:r>
      <w:r>
        <w:t>Hito 2 — plataforma sólida y administrable (Fases T, 7, B y diseño de facturación)</w:t>
      </w:r>
    </w:p>
    <w:p>
      <w:pPr>
        <w:spacing w:before="360"/>
        <w:jc w:val="center"/>
      </w:pPr>
      <w:r>
        <w:rPr>
          <w:i/>
          <w:iCs/>
        </w:rPr>
        <w:t>Documento de planificación de ejecución</w:t>
      </w:r>
    </w:p>
    <w:p>
      <w:r>
        <w:br w:type="page"/>
      </w:r>
    </w:p>
    <w:p>
      <w:pPr>
        <w:pStyle w:val="Ttulo1"/>
      </w:pPr>
      <w:r>
        <w:t>&amp;#205;ndice</w:t>
      </w:r>
    </w:p>
    <w:p>
      <w:pPr>
        <w:spacing w:after="60"/>
      </w:pPr>
      <w:r>
        <w:rPr>
          <w:b/>
          <w:bCs/>
        </w:rPr>
        <w:t xml:space="preserve">1.  </w:t>
      </w:r>
      <w:r>
        <w:t>Punto de partida y objetivo del hito</w:t>
      </w:r>
    </w:p>
    <w:p>
      <w:pPr>
        <w:spacing w:after="60"/>
      </w:pPr>
      <w:r>
        <w:rPr>
          <w:b/>
          <w:bCs/>
        </w:rPr>
        <w:t xml:space="preserve">2.  </w:t>
      </w:r>
      <w:r>
        <w:t>Decisiones cerradas</w:t>
      </w:r>
    </w:p>
    <w:p>
      <w:pPr>
        <w:spacing w:after="60"/>
      </w:pPr>
      <w:r>
        <w:rPr>
          <w:b/>
          <w:bCs/>
        </w:rPr>
        <w:t xml:space="preserve">3.  </w:t>
      </w:r>
      <w:r>
        <w:t>C&amp;#243;mo ejecutar cada r&amp;#225;faga</w:t>
      </w:r>
    </w:p>
    <w:p>
      <w:pPr>
        <w:spacing w:after="60"/>
      </w:pPr>
      <w:r>
        <w:rPr>
          <w:b/>
          <w:bCs/>
        </w:rPr>
        <w:t xml:space="preserve">4.  </w:t>
      </w:r>
      <w:r>
        <w:t>El plan de r&amp;#225;fagas (Fases F, V, TR y D)</w:t>
      </w:r>
    </w:p>
    <w:p>
      <w:pPr>
        <w:spacing w:after="60"/>
      </w:pPr>
      <w:r>
        <w:rPr>
          <w:b/>
          <w:bCs/>
        </w:rPr>
        <w:t xml:space="preserve">5.  </w:t>
      </w:r>
      <w:r>
        <w:t>Adiciones recomendadas (opcionales)</w:t>
      </w:r>
    </w:p>
    <w:p>
      <w:pPr>
        <w:spacing w:after="60"/>
      </w:pPr>
      <w:r>
        <w:rPr>
          <w:b/>
          <w:bCs/>
        </w:rPr>
        <w:t xml:space="preserve">6.  </w:t>
      </w:r>
      <w:r>
        <w:t>Qu&amp;#233; queda para el Hito 4 &amp;#8212; Monetizaci&amp;#243;n</w:t>
      </w:r>
    </w:p>
    <w:p>
      <w:pPr>
        <w:spacing w:after="60"/>
      </w:pPr>
      <w:r>
        <w:rPr>
          <w:b/>
          <w:bCs/>
        </w:rPr>
        <w:t xml:space="preserve">7.  </w:t>
      </w:r>
      <w:r>
        <w:t>Reglas de oro</w:t>
      </w:r>
    </w:p>
    <w:p>
      <w:r>
        <w:br w:type="page"/>
      </w:r>
    </w:p>
    <w:p>
      <w:pPr>
        <w:pStyle w:val="Ttulo1"/>
      </w:pPr>
      <w:r>
        <w:t>1. Punto de partida y objetivo del hito</w:t>
      </w:r>
    </w:p>
    <w:p>
      <w:pPr>
        <w:spacing w:after="120"/>
      </w:pPr>
      <w:r>
        <w:t xml:space="preserve">El Hito 2 complet&amp;#243; la red de seguridad (Fase T), el backoffice con moderaci&amp;#243;n y administraci&amp;#243;n (Fase 7), el blog como canal SEO (Fase B) y el dise&amp;#241;o cerrado del sistema de facturaci&amp;#243;n (RF.1). El bucle central del producto &amp;#8212;publicar, buscar, ver, contactar&amp;#8212; est&amp;#225; probado de extremo a extremo y con CI activo. Los m&amp;#243;dulos del Hito 2 se verificaron manualmente; su cobertura automatizada es el punto de partida del Hito 3.</w:t>
      </w:r>
    </w:p>
    <w:p>
      <w:pPr>
        <w:spacing w:after="120"/>
      </w:pPr>
      <w:r>
        <w:t xml:space="preserve">El objetivo del Hito 3 es aumentar el engagement y la confianza entre usuarios, extender la red de seguridad de tests a los m&amp;#243;dulos del Hito 2 y saldar la deuda t&amp;#233;cnica acumulada. Dos stubs de la BD ya existen y esperan implementaci&amp;#243;n: favoritos y valoraciones.</w:t>
      </w:r>
    </w:p>
    <w:p>
      <w:pPr>
        <w:pBdr>
          <w:left w:val="single" w:sz="18" w:space="12" w:color="2E75B6"/>
        </w:pBdr>
        <w:spacing w:after="120"/>
      </w:pPr>
      <w:r>
        <w:rPr>
          <w:b/>
          <w:bCs/>
        </w:rPr>
        <w:t xml:space="preserve">Hito 3 &amp;#8212; &amp;#8220;Consolidaci&amp;#243;n y engagement&amp;#8221;: </w:t>
      </w:r>
      <w:r>
        <w:t xml:space="preserve">se alcanza cuando los favoritos son funcionales (backend + frontend + e2e), el dise&amp;#241;o de valoraciones est&amp;#225; cerrado en papel y con las r&amp;#225;fagas de implementaci&amp;#243;n definidas, los m&amp;#243;dulos del Hito 2 tienen cobertura e2e automatizada, y la deuda t&amp;#233;cnica anotada en estado-tecnico.md &amp;#167;3 est&amp;#225; resuelta.</w:t>
      </w:r>
    </w:p>
    <w:p>
      <w:pPr>
        <w:spacing w:after="120"/>
      </w:pPr>
      <w:r>
        <w:t xml:space="preserve">La monetizaci&amp;#243;n queda deliberadamente fuera de este hito: el dise&amp;#241;o ya existe en docs/diseno-facturacion.md (RF.1 cerrado en el Hito 2); su implementaci&amp;#243;n es el n&amp;#250;cleo del Hito 4.</w:t>
      </w:r>
    </w:p>
    <w:p>
      <w:pPr>
        <w:pStyle w:val="Ttulo1"/>
      </w:pPr>
      <w:r>
        <w:t>2. Decisiones cerradas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Favoritos: </w:t>
      </w:r>
      <w:r>
        <w:t xml:space="preserve">CRUD sobre el modelo existente en BD (tabla Favorite ya migrada, stub vac&amp;#237;o en backend y frontend). Sin r&amp;#225;faga de dise&amp;#241;o previa &amp;#8212;el alcance es lo suficientemente acotado para ejecutarse directamente con Sonnet.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Valoraciones: </w:t>
      </w:r>
      <w:r>
        <w:t xml:space="preserve">arranca con una r&amp;#225;faga de dise&amp;#241;o (RV.1) porque las reglas de elegibilidad, bidireccionalidad y moderaci&amp;#243;n requieren decisiones de arquitectura antes de tocar c&amp;#243;digo. El desglose de las r&amp;#225;fagas de implementaci&amp;#243;n es el entregable de RV.1.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Tests retroactivos: </w:t>
      </w:r>
      <w:r>
        <w:t xml:space="preserve">la infraestructura de testing ya est&amp;#225; disponible (docs/estrategia-testing.md, helpers, seed, CI). Se extiende la cobertura e2e a los m&amp;#243;dulos del Hito 2 que solo se verificaron a mano: moderaci&amp;#243;n, admin y blog.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Deuda t&amp;#233;cnica: </w:t>
      </w:r>
      <w:r>
        <w:t xml:space="preserve">se aborda en r&amp;#225;fagas cortas e independientes entre s&amp;#237;, intercaladas con el resto del hito, para no acumularla al final.</w:t>
      </w:r>
    </w:p>
    <w:p>
      <w:pPr>
        <w:pStyle w:val="Ttulo1"/>
      </w:pPr>
      <w:r>
        <w:t>3. C&amp;#243;mo ejecutar cada r&amp;#225;faga</w:t>
      </w:r>
    </w:p>
    <w:p>
      <w:pPr>
        <w:spacing w:after="120"/>
      </w:pPr>
      <w:r>
        <w:t xml:space="preserve">Se mantienen las mismas reglas del MVP y del Hito 2: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Una tarea por r&amp;#225;faga: </w:t>
      </w:r>
      <w:r>
        <w:t xml:space="preserve">alcance peque&amp;#241;o y cerrado; nada de varios m&amp;#243;dulos en la misma sesi&amp;#243;n.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Sonnet por defecto, Opus para dise&amp;#241;ar: </w:t>
      </w:r>
      <w:r>
        <w:t xml:space="preserve">la &amp;#250;nica r&amp;#225;faga de dise&amp;#241;o de este hito es RV.1 (dise&amp;#241;o de valoraciones); el resto se ejecuta con Sonnet.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/clear entre r&amp;#225;fagas; </w:t>
      </w:r>
      <w:r>
        <w:t xml:space="preserve">revisa cada salida antes de aceptarla.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git pull al empezar la sesi&amp;#243;n, </w:t>
      </w:r>
      <w:r>
        <w:t xml:space="preserve">commit + push al terminar; nunca dejes trabajo sin commitear si vas a seguir en otra m&amp;#225;quina.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Tests e2e en la misma r&amp;#225;faga: </w:t>
      </w:r>
      <w:r>
        <w:t xml:space="preserve">los tests se escriben junto a la funcionalidad, no en una r&amp;#225;faga separada posterior.</w:t>
      </w:r>
    </w:p>
    <w:p>
      <w:pPr>
        <w:pStyle w:val="Ttulo1"/>
      </w:pPr>
      <w:r>
        <w:t>4. El plan de r&amp;#225;fagas</w:t>
      </w:r>
    </w:p>
    <w:p>
      <w:pPr>
        <w:spacing w:after="120"/>
      </w:pPr>
      <w:r>
        <w:t xml:space="preserve">El orden sigue la dependencia: primero Favoritos (stub listo, BD ready, sin dise&amp;#241;o previo) &amp;#8594; Valoraciones (dise&amp;#241;o RV.1 primero, implementaci&amp;#243;n TBD) &amp;#8594; Tests retroactivos del Hito 2 &amp;#8594; Deuda t&amp;#233;cnica (intercalada donde encaje). Las fases TR y D son independientes entre s&amp;#237; y pueden adelantarse o ejecutarse en paralelo con F y V.</w:t>
      </w:r>
    </w:p>
    <w:p>
      <w:pPr>
        <w:pStyle w:val="Ttulo2"/>
      </w:pPr>
      <w:r>
        <w:t>Fase F &amp;#8212; Favoritos</w:t>
      </w:r>
    </w:p>
    <w:p>
      <w:pPr>
        <w:spacing w:after="120"/>
      </w:pPr>
      <w:r>
        <w:rPr>
          <w:b/>
          <w:bCs/>
        </w:rPr>
        <w:t xml:space="preserve">Objetivo. </w:t>
      </w:r>
      <w:r>
        <w:t xml:space="preserve">Implementar el m&amp;#243;dulo de favoritos sobre el stub existente: backend completo, frontend con bot&amp;#243;n en ficha de anuncio y p&amp;#225;gina dedicada, y tests e2e escritos en la misma r&amp;#225;faga. Es la fase de mayor retorno inmediato: el modelo de BD ya existe y no requiere migraci&amp;#243;n nueva.</w:t>
      </w:r>
    </w:p>
    <w:p>
      <w:pPr>
        <w:spacing w:after="120"/>
      </w:pPr>
      <w:r>
        <w:rPr>
          <w:b/>
          <w:bCs/>
        </w:rPr>
        <w:t xml:space="preserve">Requisitos. </w:t>
      </w:r>
      <w:r>
        <w:t xml:space="preserve">El modelo Favorite existe en el schema de Prisma con la migraci&amp;#243;n aplicada. El stub backend (FavoritesModule, FavoritesController, FavoritesService) existe pero con cuerpos vac&amp;#237;os. No hay dependencia de otras fases del Hito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1040"/>
        <w:gridCol w:w="5640"/>
        <w:gridCol w:w="1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Ráfaga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</w:rPr>
              <w:t>Tarea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Modelo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&amp;#9744;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RFAV.1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Backend favoritos: POST /listings/:id/favorite (idempotente) y DELETE /listings/:id/favorite; GET /users/me/favorites (paginado, protegido por JWT). Validar que el anuncio existe. La respuesta incluye el campo isFavorited para uso del frontend. Tests Jest backend: marcar, desmarcar, listar paginado, idempotencia en doble marca, 401 para guest.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Sonnet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&amp;#9744;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RFAV.2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Frontend favoritos: bot&amp;#243;n coraz&amp;#243;n (toggle) en la ficha de anuncio con optimistic update; p&amp;#225;gina /favoritos con grid de anuncios guardados del usuario autenticado (redirige al login si no autenticado); actualiza el contador al marcar/desmarcar sin recargar la p&amp;#225;gina.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Sonnet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&amp;#9744;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RFAV.3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Tests e2e Playwright favoritos: login como buyer, marcar favorito en la ficha de un anuncio, verificar que aparece en /favoritos, desmarcar y verificar que desaparece. Cubrir el estado guest: el bot&amp;#243;n redirige al login.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Sonnet</w:t>
            </w:r>
          </w:p>
        </w:tc>
      </w:tr>
    </w:tbl>
    <w:p>
      <w:pPr>
        <w:pStyle w:val="Ttulo2"/>
      </w:pPr>
      <w:r>
        <w:t>Fase V &amp;#8212; Valoraciones (dise&amp;#241;o primero)</w:t>
      </w:r>
    </w:p>
    <w:p>
      <w:pPr>
        <w:spacing w:after="120"/>
      </w:pPr>
      <w:r>
        <w:rPr>
          <w:b/>
          <w:bCs/>
        </w:rPr>
        <w:t xml:space="preserve">Objetivo. </w:t>
      </w:r>
      <w:r>
        <w:t xml:space="preserve">Dise&amp;#241;ar el sistema de valoraciones resolviendo las decisiones de arquitectura antes de implementar nada. El entregable de RV.1 es el documento docs/diseno-valoraciones.md, que desglosa las r&amp;#225;fagas de implementaci&amp;#243;n. La fase queda marcada como &amp;#8220;dise&amp;#241;o primero, implementaci&amp;#243;n TBD tras RV.1&amp;#8221;.</w:t>
      </w:r>
    </w:p>
    <w:p>
      <w:pPr>
        <w:spacing w:after="120"/>
      </w:pPr>
      <w:r>
        <w:rPr>
          <w:b/>
          <w:bCs/>
        </w:rPr>
        <w:t xml:space="preserve">Requisitos. </w:t>
      </w:r>
      <w:r>
        <w:t xml:space="preserve">El stub Reviews existe pero vac&amp;#237;o. El dise&amp;#241;o debe resolver, como m&amp;#237;nimo: (1) elegibilidad &amp;#8212;qui&amp;#233;n puede valorar a qui&amp;#233;n y bajo qu&amp;#233; condici&amp;#243;n (&amp;#191;conversaci&amp;#243;n real?, &amp;#191;transacci&amp;#243;n marcada?), para evitar rese&amp;#241;as falsas; (2) bidireccionalidad comprador&amp;#8596;vendedor; (3) edici&amp;#243;n y borrado de valoraciones (ventana temporal, qui&amp;#233;n puede); (4) c&amp;#225;lculo y visualizaci&amp;#243;n del agregado (media, distribuci&amp;#243;n de estrellas) en el perfil p&amp;#250;blico; (5) moderaci&amp;#243;n de rese&amp;#241;as abusivas, conectada con el sistema de moderaci&amp;#243;n de la Fase 7.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1040"/>
        <w:gridCol w:w="5640"/>
        <w:gridCol w:w="1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Ráfaga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</w:rPr>
              <w:t>Tarea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Modelo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&amp;#9744;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RV.1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Dise&amp;#241;ar el m&amp;#243;dulo de valoraciones: resolver las cinco decisiones de arquitectura listadas en los requisitos de la fase. Entregable: docs/diseno-valoraciones.md con el modelo de datos, reglas de elegibilidad, flujo de vida de una valoraci&amp;#243;n, c&amp;#225;lculo del agregado y desglose de r&amp;#225;fagas de implementaci&amp;#243;n. Sin c&amp;#243;digo en esta r&amp;#225;faga.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Opus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&amp;#9744;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RV.2&amp;#8211;RV.N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Implementaci&amp;#243;n TBD tras RV.1: las r&amp;#225;fagas de implementaci&amp;#243;n (backend, frontend, tests) se definen en docs/diseno-valoraciones.md como entregable de RV.1. El n&amp;#250;mero y alcance de cada r&amp;#225;faga depende de las decisiones de dise&amp;#241;o.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&amp;#8212;</w:t>
            </w:r>
          </w:p>
        </w:tc>
      </w:tr>
    </w:tbl>
    <w:p>
      <w:pPr>
        <w:pStyle w:val="Ttulo2"/>
      </w:pPr>
      <w:r>
        <w:t>Fase TR &amp;#8212; Tests retroactivos (Hito 2)</w:t>
      </w:r>
    </w:p>
    <w:p>
      <w:pPr>
        <w:spacing w:after="120"/>
      </w:pPr>
      <w:r>
        <w:rPr>
          <w:b/>
          <w:bCs/>
        </w:rPr>
        <w:t xml:space="preserve">Objetivo. </w:t>
      </w:r>
      <w:r>
        <w:t xml:space="preserve">Extender la cobertura e2e a los m&amp;#243;dulos del Hito 2 que solo se verificaron a mano: moderaci&amp;#243;n, admin y blog. La infraestructura de testing (helpers cleanDb/waitForIndex, seed, CI) ya est&amp;#225; lista desde la Fase T. Nada nuevo que dise&amp;#241;ar; solo tests sobre endpoints y flujos ya existentes.</w:t>
      </w:r>
    </w:p>
    <w:p>
      <w:pPr>
        <w:spacing w:after="120"/>
      </w:pPr>
      <w:r>
        <w:rPr>
          <w:b/>
          <w:bCs/>
        </w:rPr>
        <w:t xml:space="preserve">Requisitos. </w:t>
      </w:r>
      <w:r>
        <w:t xml:space="preserve">Ning&amp;#250;n nuevo m&amp;#243;dulo ni migraci&amp;#243;n. No bloquea ni es bloqueada por las fases F o V; puede ejecutarse en cualquier orden relativo a ellas.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1040"/>
        <w:gridCol w:w="5640"/>
        <w:gridCol w:w="1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Ráfaga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</w:rPr>
              <w:t>Tarea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Modelo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&amp;#9744;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RTR.1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Tests e2e moderaci&amp;#243;n: crear reporte (usuario autenticado sobre un anuncio existente), listar cola de reportes (rol MODERATOR), resolver y desestimar reporte (resolvedBy + resolvedAt), retirar y restaurar anuncio desde moderaci&amp;#243;n. Verificar que AuditLog registra cada acci&amp;#243;n.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Sonnet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&amp;#9744;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RTR.2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Tests e2e admin: endpoint GET /admin/stats (7 m&amp;#233;tricas + fallback Meilisearch null); gesti&amp;#243;n de listings (listar, PATCH status); gesti&amp;#243;n de usuarios (suspend/ban/reinstate, cambio de rol con protecci&amp;#243;n anti-degradaci&amp;#243;n de ADMIN); categor&amp;#237;as (crear, editar, reorder, borrar, attributeSchema); settings (GET + PATCH con whitelist y rechazo de clave arbitraria).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Sonnet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&amp;#9744;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RTR.3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Tests e2e blog: endpoints p&amp;#250;blicos (GET /blog paginado, GET /blog/:slug, 404 si DRAFT o no existe); admin CRUD (crear, editar, publicar, despublicar, eliminar, revalidaci&amp;#243;n ISR fire-and-forget). Playwright: leer un post publicado, verificar JSON-LD BlogPosting en el DOM, verificar que un post DRAFT devuelve 404.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Sonnet</w:t>
            </w:r>
          </w:p>
        </w:tc>
      </w:tr>
    </w:tbl>
    <w:p>
      <w:pPr>
        <w:pStyle w:val="Ttulo2"/>
      </w:pPr>
      <w:r>
        <w:t>Fase D &amp;#8212; Deuda t&amp;#233;cnica</w:t>
      </w:r>
    </w:p>
    <w:p>
      <w:pPr>
        <w:spacing w:after="120"/>
      </w:pPr>
      <w:r>
        <w:rPr>
          <w:b/>
          <w:bCs/>
        </w:rPr>
        <w:t xml:space="preserve">Objetivo. </w:t>
      </w:r>
      <w:r>
        <w:t xml:space="preserve">Saldar los cabos pendientes anotados en estado-tecnico.md &amp;#167;3 que no encajan en ninguna otra fase. R&amp;#225;fagas cortas e independientes entre s&amp;#237;, intercalables en cualquier punto del hito seg&amp;#250;n disponibilidad.</w:t>
      </w:r>
    </w:p>
    <w:p>
      <w:pPr>
        <w:spacing w:after="120"/>
      </w:pPr>
      <w:r>
        <w:rPr>
          <w:b/>
          <w:bCs/>
        </w:rPr>
        <w:t xml:space="preserve">Requisitos. </w:t>
      </w:r>
      <w:r>
        <w:t xml:space="preserve">Sin dependencias entre las r&amp;#225;fagas de esta fase. Pueden ejecutarse antes, despu&amp;#233;s o intercaladas con las fases F, V y TR.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1040"/>
        <w:gridCol w:w="5640"/>
        <w:gridCol w:w="1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Ráfaga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</w:rPr>
              <w:t>Tarea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Modelo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&amp;#9744;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RD.1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Sentry cliente (navegador): a&amp;#241;adir NEXT_PUBLIC_SENTRY_DSN a apps/web/.env.example; crear sentry.client.config.ts con Sentry.init() para el runtime del navegador (hidrataci&amp;#243;n, clics, fetch fallidos en componentes React cliente). Verificar que errores de cliente aparecen en el panel de Sentry separados de los errores de servidor.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Sonnet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&amp;#9744;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RD.2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Fix CI + test flaky: actualizar pnpm/action-setup al &amp;#250;ltimo major sin warning de deprecaci&amp;#243;n; corregir el test inestable de listings (sustituir waitForRemoval por waitFor con timeout expl&amp;#237;cito o polling hasta que el documento desaparezca del &amp;#237;ndice de Meilisearch). Verificar que el job e2e en CI pasa limpio sin warnings.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Sonnet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&amp;#9744;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RD.3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Deduplicar isSafeSrc: extraer src/lib/safe-src.ts que derive los dominios permitidos leyendo los remotePatterns de next.config.ts; sustituir la l&amp;#243;gica inline duplicada en app/(public)/blog/page.tsx y app/(public)/blog/[slug]/page.tsx por el helper compartido. Eliminar el comentario &amp;#8220;debe mantenerse en sync con next.config.ts&amp;#8221;.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t>Sonnet</w:t>
            </w:r>
          </w:p>
        </w:tc>
      </w:tr>
    </w:tbl>
    <w:p>
      <w:pPr>
        <w:pStyle w:val="Ttulo1"/>
      </w:pPr>
      <w:r>
        <w:t>5. Adiciones recomendadas (opcionales)</w:t>
      </w:r>
    </w:p>
    <w:p>
      <w:pPr>
        <w:spacing w:after="120"/>
      </w:pPr>
      <w:r>
        <w:t xml:space="preserve">No forman parte del n&amp;#250;cleo del hito, pero encajan en el objetivo de engagement y conviene tenerlas en el radar: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B&amp;#250;squedas guardadas con alerta por email: </w:t>
      </w:r>
      <w:r>
        <w:t xml:space="preserve">reutiliza b&amp;#250;squeda + colas BullMQ + NotificationProcessor. Retenci&amp;#243;n de usuarios sin coste de infraestructura adicional. Puede ejecutarse tras Favoritos como extensi&amp;#243;n natural.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conversation:markRead v&amp;#237;a WebSocket: </w:t>
      </w:r>
      <w:r>
        <w:t xml:space="preserve">completar el flujo de lectura en tiempo real; el contador de no le&amp;#237;dos de la bandeja baja sin recargar. Deuda anotada en estado-tecnico.md &amp;#167;3.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Rate-limiting sobre auth, mensajer&amp;#237;a y reportes: </w:t>
      </w:r>
      <w:r>
        <w:t xml:space="preserve">usando Redis (ya disponible), con las librer&amp;#237;as @nestjs/throttler. Robustez frente a abuso con bajo coste de implementaci&amp;#243;n.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RGPD &amp;#8212; borrado y exportaci&amp;#243;n de cuenta: </w:t>
      </w:r>
      <w:r>
        <w:t xml:space="preserve">los onDelete: Cascade del schema facilitan el borrado completo. Correcto para una plataforma europea; encaja en cualquier r&amp;#225;faga corta de admin.</w:t>
      </w:r>
    </w:p>
    <w:p>
      <w:pPr>
        <w:pStyle w:val="Ttulo1"/>
      </w:pPr>
      <w:r>
        <w:t>6. Qu&amp;#233; queda para el Hito 4 &amp;#8212; Monetizaci&amp;#243;n</w:t>
      </w:r>
    </w:p>
    <w:p>
      <w:pPr>
        <w:spacing w:after="120"/>
      </w:pPr>
      <w:r>
        <w:t xml:space="preserve">El dise&amp;#241;o del motor de cobro ya est&amp;#225; cerrado en docs/diseno-facturacion.md (r&amp;#225;faga RF.1 del Hito 2). El Hito 4 lo implementa cuando el producto tenga tracci&amp;#243;n: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Motor de cobro con Stripe, </w:t>
      </w:r>
      <w:r>
        <w:t xml:space="preserve">en modo test: productos, sesiones de checkout, webhooks &amp;#8594; entitlements, idempotencia por GatewayEvent, cola BullMQ.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Destacados: </w:t>
      </w:r>
      <w:r>
        <w:t xml:space="preserve">aplicar el entitlement boostScore binario en Meilisearch y la UI de &amp;#8220;destacar tu anuncio&amp;#8221; en la ficha y en mis-anuncios.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Plan Pro: </w:t>
      </w:r>
      <w:r>
        <w:t xml:space="preserve">suscripci&amp;#243;n (alta/baja/renovaci&amp;#243;n con gracia de 7 d&amp;#237;as) y sus beneficios (visibilidad, slots extra, distintivo).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Facturaci&amp;#243;n fiscal: </w:t>
      </w:r>
      <w:r>
        <w:t xml:space="preserve">nota fiscal espa&amp;#241;ola con IVA (VeriFactu), generaci&amp;#243;n y descarga desde el perfil.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Backoffice de cobro: </w:t>
      </w:r>
      <w:r>
        <w:t xml:space="preserve">pagos, suscripciones activas, reembolsos y m&amp;#233;tricas de ingresos (estad&amp;#237;sticas del Plan Pro).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Anal&amp;#237;tica de producto: </w:t>
      </w:r>
      <w:r>
        <w:t xml:space="preserve">m&amp;#233;tricas de conversi&amp;#243;n, embudo publicar&amp;#8594;contactar, retenci&amp;#243;n y cohortes.</w:t>
      </w:r>
    </w:p>
    <w:p>
      <w:pPr>
        <w:spacing w:after="120"/>
      </w:pPr>
      <w:r>
        <w:t xml:space="preserve">La hoja de ruta detallada del Hito 4 parte directamente de docs/diseno-facturacion.md; no requiere una nueva r&amp;#225;faga de dise&amp;#241;o.</w:t>
      </w:r>
    </w:p>
    <w:p>
      <w:pPr>
        <w:pStyle w:val="Ttulo1"/>
      </w:pPr>
      <w:r>
        <w:t>7. Reglas de oro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Una tarea por r&amp;#225;faga; </w:t>
      </w:r>
      <w:r>
        <w:t xml:space="preserve">alcance peque&amp;#241;o y cerrado.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Sonnet por defecto; </w:t>
      </w:r>
      <w:r>
        <w:t xml:space="preserve">Opus solo para la r&amp;#225;faga de dise&amp;#241;o RV.1.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Tests e2e en la misma r&amp;#225;faga: </w:t>
      </w:r>
      <w:r>
        <w:t xml:space="preserve">se escriben junto a la funcionalidad; la r&amp;#225;faga no se cierra sin tests.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/clear entre r&amp;#225;fagas; </w:t>
      </w:r>
      <w:r>
        <w:t xml:space="preserve">revisa cada salida antes de aceptarla.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git pull al empezar la sesi&amp;#243;n, </w:t>
      </w:r>
      <w:r>
        <w:t xml:space="preserve">commit + push al terminar; nunca dejes trabajo sin commitear si vas a seguir en otra m&amp;#225;quina.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Respeta la frontera de arquitectura: </w:t>
      </w:r>
      <w:r>
        <w:t xml:space="preserve">NestJS es la &amp;#250;nica fuente de verdad de la l&amp;#243;gica de negocio, Next.js solo presentaci&amp;#243;n + BFF, y el trabajo pesado va a colas BullMQ.</w:t>
      </w:r>
    </w:p>
    <w:sectPr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997B3" w14:textId="77777777" w:rsidR="00E34FAB" w:rsidRDefault="00E34FAB">
      <w:r>
        <w:separator/>
      </w:r>
    </w:p>
  </w:endnote>
  <w:endnote w:type="continuationSeparator" w:id="0">
    <w:p w14:paraId="2A783C56" w14:textId="77777777" w:rsidR="00E34FAB" w:rsidRDefault="00E34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59E87" w14:textId="2880E967" w:rsidR="00720881" w:rsidRDefault="00000000">
    <w:pPr>
      <w:pBdr>
        <w:top w:val="single" w:sz="4" w:space="6" w:color="CCCCCC"/>
      </w:pBdr>
      <w:tabs>
        <w:tab w:val="right" w:pos="9026"/>
      </w:tabs>
    </w:pPr>
    <w:r>
      <w:rPr>
        <w:color w:val="888888"/>
        <w:sz w:val="16"/>
        <w:szCs w:val="16"/>
      </w:rPr>
      <w:t>Hito 2 · Plataforma sólida y administrable · ráfagas de 5 h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Pág.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23DF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A8631" w14:textId="77777777" w:rsidR="00E34FAB" w:rsidRDefault="00E34FAB">
      <w:r>
        <w:separator/>
      </w:r>
    </w:p>
  </w:footnote>
  <w:footnote w:type="continuationSeparator" w:id="0">
    <w:p w14:paraId="47195269" w14:textId="77777777" w:rsidR="00E34FAB" w:rsidRDefault="00E34F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471A"/>
    <w:multiLevelType w:val="hybridMultilevel"/>
    <w:tmpl w:val="F1641392"/>
    <w:lvl w:ilvl="0" w:tplc="3F9826FC">
      <w:start w:val="1"/>
      <w:numFmt w:val="bullet"/>
      <w:lvlText w:val="●"/>
      <w:lvlJc w:val="left"/>
      <w:pPr>
        <w:ind w:left="720" w:hanging="360"/>
      </w:pPr>
    </w:lvl>
    <w:lvl w:ilvl="1" w:tplc="0B807D36">
      <w:start w:val="1"/>
      <w:numFmt w:val="bullet"/>
      <w:lvlText w:val="○"/>
      <w:lvlJc w:val="left"/>
      <w:pPr>
        <w:ind w:left="1440" w:hanging="360"/>
      </w:pPr>
    </w:lvl>
    <w:lvl w:ilvl="2" w:tplc="F196920C">
      <w:start w:val="1"/>
      <w:numFmt w:val="bullet"/>
      <w:lvlText w:val="■"/>
      <w:lvlJc w:val="left"/>
      <w:pPr>
        <w:ind w:left="2160" w:hanging="360"/>
      </w:pPr>
    </w:lvl>
    <w:lvl w:ilvl="3" w:tplc="5FF2516E">
      <w:start w:val="1"/>
      <w:numFmt w:val="bullet"/>
      <w:lvlText w:val="●"/>
      <w:lvlJc w:val="left"/>
      <w:pPr>
        <w:ind w:left="2880" w:hanging="360"/>
      </w:pPr>
    </w:lvl>
    <w:lvl w:ilvl="4" w:tplc="7D42E228">
      <w:start w:val="1"/>
      <w:numFmt w:val="bullet"/>
      <w:lvlText w:val="○"/>
      <w:lvlJc w:val="left"/>
      <w:pPr>
        <w:ind w:left="3600" w:hanging="360"/>
      </w:pPr>
    </w:lvl>
    <w:lvl w:ilvl="5" w:tplc="B9E8B2B0">
      <w:start w:val="1"/>
      <w:numFmt w:val="bullet"/>
      <w:lvlText w:val="■"/>
      <w:lvlJc w:val="left"/>
      <w:pPr>
        <w:ind w:left="4320" w:hanging="360"/>
      </w:pPr>
    </w:lvl>
    <w:lvl w:ilvl="6" w:tplc="8E1A28B8">
      <w:start w:val="1"/>
      <w:numFmt w:val="bullet"/>
      <w:lvlText w:val="●"/>
      <w:lvlJc w:val="left"/>
      <w:pPr>
        <w:ind w:left="5040" w:hanging="360"/>
      </w:pPr>
    </w:lvl>
    <w:lvl w:ilvl="7" w:tplc="96E42854">
      <w:start w:val="1"/>
      <w:numFmt w:val="bullet"/>
      <w:lvlText w:val="●"/>
      <w:lvlJc w:val="left"/>
      <w:pPr>
        <w:ind w:left="5760" w:hanging="360"/>
      </w:pPr>
    </w:lvl>
    <w:lvl w:ilvl="8" w:tplc="A1606E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224D56"/>
    <w:multiLevelType w:val="hybridMultilevel"/>
    <w:tmpl w:val="4B3A6E00"/>
    <w:lvl w:ilvl="0" w:tplc="6722181E">
      <w:start w:val="1"/>
      <w:numFmt w:val="bullet"/>
      <w:lvlText w:val="•"/>
      <w:lvlJc w:val="left"/>
      <w:pPr>
        <w:ind w:left="460" w:hanging="260"/>
      </w:pPr>
    </w:lvl>
    <w:lvl w:ilvl="1" w:tplc="7F3C959A">
      <w:numFmt w:val="decimal"/>
      <w:lvlText w:val=""/>
      <w:lvlJc w:val="left"/>
    </w:lvl>
    <w:lvl w:ilvl="2" w:tplc="AC920A14">
      <w:numFmt w:val="decimal"/>
      <w:lvlText w:val=""/>
      <w:lvlJc w:val="left"/>
    </w:lvl>
    <w:lvl w:ilvl="3" w:tplc="1B9C8E0C">
      <w:numFmt w:val="decimal"/>
      <w:lvlText w:val=""/>
      <w:lvlJc w:val="left"/>
    </w:lvl>
    <w:lvl w:ilvl="4" w:tplc="D2F82066">
      <w:numFmt w:val="decimal"/>
      <w:lvlText w:val=""/>
      <w:lvlJc w:val="left"/>
    </w:lvl>
    <w:lvl w:ilvl="5" w:tplc="39FE576E">
      <w:numFmt w:val="decimal"/>
      <w:lvlText w:val=""/>
      <w:lvlJc w:val="left"/>
    </w:lvl>
    <w:lvl w:ilvl="6" w:tplc="900A4EDE">
      <w:numFmt w:val="decimal"/>
      <w:lvlText w:val=""/>
      <w:lvlJc w:val="left"/>
    </w:lvl>
    <w:lvl w:ilvl="7" w:tplc="14A0C44C">
      <w:numFmt w:val="decimal"/>
      <w:lvlText w:val=""/>
      <w:lvlJc w:val="left"/>
    </w:lvl>
    <w:lvl w:ilvl="8" w:tplc="199AA65C">
      <w:numFmt w:val="decimal"/>
      <w:lvlText w:val=""/>
      <w:lvlJc w:val="left"/>
    </w:lvl>
  </w:abstractNum>
  <w:num w:numId="1" w16cid:durableId="885800132">
    <w:abstractNumId w:val="0"/>
    <w:lvlOverride w:ilvl="0">
      <w:startOverride w:val="1"/>
    </w:lvlOverride>
  </w:num>
  <w:num w:numId="2" w16cid:durableId="15969412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881"/>
    <w:rsid w:val="00323DFC"/>
    <w:rsid w:val="00720881"/>
    <w:rsid w:val="00B310AF"/>
    <w:rsid w:val="00E3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59DD0"/>
  <w15:docId w15:val="{7FA22206-EF11-43F7-8893-9DD3A273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2E75B6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1F1F1F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1676</Words>
  <Characters>9220</Characters>
  <Application>Microsoft Office Word</Application>
  <DocSecurity>0</DocSecurity>
  <Lines>76</Lines>
  <Paragraphs>21</Paragraphs>
  <ScaleCrop>false</ScaleCrop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Ernest Seguí Serra</cp:lastModifiedBy>
  <cp:revision>2</cp:revision>
  <dcterms:created xsi:type="dcterms:W3CDTF">2026-06-22T11:21:00Z</dcterms:created>
  <dcterms:modified xsi:type="dcterms:W3CDTF">2026-06-22T14:34:00Z</dcterms:modified>
</cp:coreProperties>
</file>