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E2521D"/>
          <w:sz w:val="26"/>
          <w:szCs w:val="26"/>
        </w:rPr>
        <w:t xml:space="preserve">HOJA DE RUTA POR RÁFAGAS</w:t>
      </w:r>
    </w:p>
    <w:p>
      <w:pPr>
        <w:spacing w:after="80"/>
      </w:pPr>
      <w:r>
        <w:rPr>
          <w:b/>
          <w:bCs/>
          <w:color w:val="1A1A1A"/>
          <w:sz w:val="50"/>
          <w:szCs w:val="50"/>
        </w:rPr>
        <w:t xml:space="preserve">Plataforma de compraventa de segunda mano</w:t>
      </w:r>
    </w:p>
    <w:p>
      <w:pPr>
        <w:spacing w:after="240"/>
      </w:pPr>
      <w:r>
        <w:rPr>
          <w:color w:val="595959"/>
          <w:sz w:val="28"/>
          <w:szCs w:val="28"/>
        </w:rPr>
        <w:t xml:space="preserve">Plan de sesiones hasta el MVP funcional</w:t>
      </w:r>
    </w:p>
    <w:p>
      <w:pPr>
        <w:pBdr>
          <w:bottom w:val="single" w:color="E2521D" w:sz="18" w:space="6"/>
        </w:pBdr>
        <w:spacing w:after="360"/>
      </w:pPr>
      <w:r>
        <w:t xml:space="preserve"/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Método:  </w:t>
      </w:r>
      <w:r>
        <w:rPr>
          <w:color w:val="1A1A1A"/>
          <w:sz w:val="22"/>
          <w:szCs w:val="22"/>
        </w:rPr>
        <w:t xml:space="preserve">ráfagas acotadas a la ventana de 5 h del plan Pro de Claude Code</w:t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Alcance:  </w:t>
      </w:r>
      <w:r>
        <w:rPr>
          <w:color w:val="1A1A1A"/>
          <w:sz w:val="22"/>
          <w:szCs w:val="22"/>
        </w:rPr>
        <w:t xml:space="preserve">fases 0 a 5  ·  ~40 ráfagas reales  ·  3-5 meses a ritmo parcial</w:t>
      </w:r>
    </w:p>
    <w:p>
      <w:pPr>
        <w:spacing w:before="2600"/>
      </w:pPr>
      <w:r>
        <w:rPr>
          <w:i/>
          <w:iCs/>
          <w:color w:val="595959"/>
          <w:sz w:val="20"/>
          <w:szCs w:val="20"/>
        </w:rPr>
        <w:t xml:space="preserve">Documento de planificación de ejecución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1A1A1A"/>
          <w:sz w:val="32"/>
          <w:szCs w:val="32"/>
        </w:rPr>
        <w:t xml:space="preserve">Índice</w:t>
      </w:r>
    </w:p>
    <w:p>
      <w:pPr>
        <w:pBdr>
          <w:bottom w:val="single" w:color="E2521D" w:sz="12" w:space="4"/>
        </w:pBdr>
        <w:spacing w:after="260"/>
      </w:pPr>
      <w:r>
        <w:t xml:space="preserve"/>
      </w:r>
    </w:p>
    <w:p>
      <w:pPr>
        <w:tabs>
          <w:tab w:val="right" w:pos="9360" w:leader="dot"/>
        </w:tabs>
        <w:spacing w:after="130" w:line="300"/>
      </w:pPr>
      <w:r>
        <w:rPr>
          <w:color w:val="1A1A1A"/>
          <w:sz w:val="22"/>
          <w:szCs w:val="22"/>
        </w:rPr>
        <w:t xml:space="preserve">1.  Cómo ejecutar cada ráfaga</w:t>
      </w:r>
      <w:r>
        <w:rPr>
          <w:color w:val="595959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130" w:line="300"/>
      </w:pPr>
      <w:r>
        <w:rPr>
          <w:color w:val="1A1A1A"/>
          <w:sz w:val="22"/>
          <w:szCs w:val="22"/>
        </w:rPr>
        <w:t xml:space="preserve">2.  El plan de ráfagas</w:t>
      </w:r>
      <w:r>
        <w:rPr>
          <w:color w:val="595959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130" w:line="300"/>
      </w:pPr>
      <w:r>
        <w:rPr>
          <w:color w:val="1A1A1A"/>
          <w:sz w:val="22"/>
          <w:szCs w:val="22"/>
        </w:rPr>
        <w:t xml:space="preserve">3.  Encaje en el calendario</w:t>
      </w:r>
      <w:r>
        <w:rPr>
          <w:color w:val="595959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130" w:line="300"/>
      </w:pPr>
      <w:r>
        <w:rPr>
          <w:color w:val="1A1A1A"/>
          <w:sz w:val="22"/>
          <w:szCs w:val="22"/>
        </w:rPr>
        <w:t xml:space="preserve">4.  Reglas de oro para el plan Pro</w:t>
      </w:r>
      <w:r>
        <w:rPr>
          <w:color w:val="595959"/>
          <w:sz w:val="22"/>
          <w:szCs w:val="22"/>
        </w:rPr>
        <w:t xml:space="preserve">	6</w:t>
      </w:r>
    </w:p>
    <w:p>
      <w:r>
        <w:br w:type="page"/>
      </w:r>
    </w:p>
    <w:p>
      <w:pPr>
        <w:pStyle w:val="Heading1"/>
      </w:pPr>
      <w:r>
        <w:t xml:space="preserve">1. Cómo ejecutar cada ráfaga</w:t>
      </w:r>
    </w:p>
    <w:p>
      <w:pPr>
        <w:pBdr>
          <w:bottom w:val="single" w:color="E2521D" w:sz="12" w:space="1"/>
        </w:pBdr>
        <w:spacing w:after="160" w:before="40"/>
      </w:pPr>
      <w:r>
        <w:t xml:space="preserve"/>
      </w:r>
    </w:p>
    <w:p>
      <w:pPr>
        <w:spacing w:after="140" w:line="276"/>
        <w:jc w:val="both"/>
      </w:pPr>
      <w:r>
        <w:t xml:space="preserve">Una ráfaga es una sesión de trabajo acotada, pensada para encajar en una ventana de cinco horas del plan Pro, dedicada a una única tarea bien definida. Estas reglas mantienen el ritmo sin agotar el límite de uso: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Una tarea por ráfaga: </w:t>
      </w:r>
      <w:r>
        <w:t xml:space="preserve">alcance pequeño y cerrado; nada de intentar varios módulos en la misma sesión.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Sonnet por defecto, Opus para planificar: </w:t>
      </w:r>
      <w:r>
        <w:t xml:space="preserve">las ráfagas marcadas como Opus son de diseño breve al inicio de cada módulo; el resto se ejecuta con Sonnet, que consume mucho menos.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Limpia el contexto entre tareas: </w:t>
      </w:r>
      <w:r>
        <w:t xml:space="preserve">usa /clear al cambiar de ráfaga para no arrastrar contexto innecesario.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Revisa cada salida: </w:t>
      </w:r>
      <w:r>
        <w:t xml:space="preserve">no aceptes el código generado a ciegas; revisarlo es parte de la ráfaga.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Ritmo de ráfagas, no de maratón: </w:t>
      </w:r>
      <w:r>
        <w:t xml:space="preserve">una o dos sesiones al día (mañana y tarde), nunca en continuo.</w:t>
      </w:r>
    </w:p>
    <w:p>
      <w:pPr>
        <w:pStyle w:val="Heading1"/>
      </w:pPr>
      <w:r>
        <w:t xml:space="preserve">2. El plan de ráfagas</w:t>
      </w:r>
    </w:p>
    <w:p>
      <w:pPr>
        <w:pBdr>
          <w:bottom w:val="single" w:color="E2521D" w:sz="12" w:space="1"/>
        </w:pBdr>
        <w:spacing w:after="160" w:before="40"/>
      </w:pPr>
      <w:r>
        <w:t xml:space="preserve"/>
      </w:r>
    </w:p>
    <w:p>
      <w:pPr>
        <w:spacing w:after="140" w:line="276"/>
        <w:jc w:val="both"/>
      </w:pPr>
      <w:r>
        <w:t xml:space="preserve">El camino al MVP (fases 0 a 5, más el cierre de integración) se descompone en las siguientes ráfagas. La columna de estado permite marcar cada una conforme se completa.</w:t>
      </w:r>
    </w:p>
    <w:p>
      <w:pPr>
        <w:pStyle w:val="Heading2"/>
      </w:pPr>
      <w:r>
        <w:t xml:space="preserve">Fase 0 — Cimientos</w:t>
      </w:r>
    </w:p>
    <w:p>
      <w:pPr>
        <w:spacing w:after="140" w:line="276"/>
        <w:jc w:val="both"/>
      </w:pPr>
      <w:r>
        <w:t xml:space="preserve">Preparar el entorno y los esqueletos de proyecto. Aún no se escribe lógica de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R0.1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docker-compose con PostgreSQL, Redis y Meilisearch; levantarlos, verificar conexión y fijar variables de entorno base.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R0.2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Scaffolding del backend NestJS: estructura de carpetas, módulos vacíos, configuración tipada y PrismaModule.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R0.3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Scaffolding del frontend Next.js: route groups, layout base, Tailwind y cliente HTTP base hacia la API.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R0.4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Redactar el CLAUDE.md de ambos repos con las convenciones del proyecto (Nest única fuente de verdad, Next solo presentación, trabajo pesado a colas).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0F"/>
                <w:sz w:val="18"/>
                <w:szCs w:val="18"/>
              </w:rPr>
              <w:t xml:space="preserve">Opus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Fase 1 — Capa de datos</w:t>
      </w:r>
    </w:p>
    <w:p>
      <w:pPr>
        <w:spacing w:after="140" w:line="276"/>
        <w:jc w:val="both"/>
      </w:pPr>
      <w:r>
        <w:t xml:space="preserve">Dejar la base de datos operativa con esquema y datos iniciales.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R1.1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Aplicar el schema.prisma, generar la migración inicial y verificarla contra la base de datos.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R1.2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Ejecutar el seed.ts (árbol de categorías y usuario administrador) y comprobar los datos.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Fase 2 — Autenticación</w:t>
      </w:r>
    </w:p>
    <w:p>
      <w:pPr>
        <w:spacing w:after="140" w:line="276"/>
        <w:jc w:val="both"/>
      </w:pPr>
      <w:r>
        <w:t xml:space="preserve">Construir el registro, el login y la sesión protegida. Es transversal: casi todo depende de ella.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R2.1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Diseñar el módulo auth: estrategia JWT, flujo de registro/login y manejo de sesión.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0F"/>
                <w:sz w:val="18"/>
                <w:szCs w:val="18"/>
              </w:rPr>
              <w:t xml:space="preserve">Opus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R2.2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auth backend: registro, login, emisión y validación de JWT, guards.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R2.3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users backend: perfil, lectura y actualización.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R2.4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páginas de login y registro, integración de Auth.js y gestión de sesión.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R2.5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middleware.ts de protección de rutas y prueba del flujo completo de extremo a extremo.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Fase 3 — Anuncios y medios</w:t>
      </w:r>
    </w:p>
    <w:p>
      <w:pPr>
        <w:spacing w:after="140" w:line="276"/>
        <w:jc w:val="both"/>
      </w:pPr>
      <w:r>
        <w:t xml:space="preserve">La fase más extensa: el CRUD central de anuncios y la subida de imágenes.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Repasar el patrón de listings.service y diseñar el módulo media.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0F"/>
                <w:sz w:val="18"/>
                <w:szCs w:val="18"/>
              </w:rPr>
              <w:t xml:space="preserve">Opus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media backend: subida a S3/R2 y generación de miniaturas mediante cola.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listings backend: crear, editar y publicar anuncios.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R3.4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listings backend: ficha por slug y listado por categoría, con caché en Redis.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R3.5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formulario de publicación con subida de fotografías.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R3.6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ficha de anuncio renderizada en servidor (SSR) con galería.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R3.7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listado por categoría y portada.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Fase 4 — Búsqueda</w:t>
      </w:r>
    </w:p>
    <w:p>
      <w:pPr>
        <w:spacing w:after="140" w:line="276"/>
        <w:jc w:val="both"/>
      </w:pPr>
      <w:r>
        <w:t xml:space="preserve">La pieza de mayor riesgo técnico: indexado asíncrono, filtros y geolocalización.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R4.1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Diseñar la integración con Meilisearch y la cola de indexado.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0F"/>
                <w:sz w:val="18"/>
                <w:szCs w:val="18"/>
              </w:rPr>
              <w:t xml:space="preserve">Opus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R4.2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search.service y configuración del índice (atributos buscables, filtrables y ordenables).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R4.3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indexing.processor (worker BullMQ) y conexión con el ciclo de publicación de listings.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R4.4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Endpoint de búsqueda con filtros, facetas y geolocalización.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R4.5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barra de búsqueda y página de resultados con filtros (partir en dos ráfagas si se alarga).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Fase 5 — Mensajería</w:t>
      </w:r>
    </w:p>
    <w:p>
      <w:pPr>
        <w:spacing w:after="140" w:line="276"/>
        <w:jc w:val="both"/>
      </w:pPr>
      <w:r>
        <w:t xml:space="preserve">Cerrar el bucle de contacto entre comprador y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R5.1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Diseñar la mensajería: REST más gateway WebSocket.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A8390F"/>
                <w:sz w:val="18"/>
                <w:szCs w:val="18"/>
              </w:rPr>
              <w:t xml:space="preserve">Opus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R5.2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Módulo messaging backend: conversaciones y mensajes por REST.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R5.3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Gateway WebSocket para el tiempo real.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R5.4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Frontend: bandeja de conversaciones y vista de chat.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R5.5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Integración y prueba del bucle completo comprador ↔ vendedor.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Cierre — Integración y despliegue</w:t>
      </w:r>
    </w:p>
    <w:p>
      <w:pPr>
        <w:spacing w:after="140" w:line="276"/>
        <w:jc w:val="both"/>
      </w:pPr>
      <w:r>
        <w:t xml:space="preserve">Llevar el MVP a un entorno real y validarlo de extremo a extremo.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6260"/>
        <w:gridCol w:w="13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Ráfaga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52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R6.1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Despliegue a staging con Docker: dominio, SSL y variables de producción.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R6.2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Prueba de extremo a extremo del MVP (publicar → buscar → ver → contactar) y corrección de bugs.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R6.3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Colchón para los arreglos que siempre aparecen en la prueba final.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8"/>
                <w:szCs w:val="18"/>
              </w:rPr>
              <w:t xml:space="preserve">Sonnet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E2521D" w:sz="24" w:space="14"/>
        </w:pBdr>
        <w:shd w:fill="FBEEE8" w:val="clear"/>
        <w:spacing w:after="200" w:before="160" w:line="276"/>
      </w:pPr>
      <w:r>
        <w:rPr>
          <w:b/>
          <w:bCs/>
          <w:color w:val="A8390F"/>
          <w:sz w:val="22"/>
          <w:szCs w:val="22"/>
        </w:rPr>
        <w:t xml:space="preserve">Hito: MVP funcional.  </w:t>
      </w:r>
      <w:r>
        <w:rPr>
          <w:color w:val="1A1A1A"/>
          <w:sz w:val="22"/>
          <w:szCs w:val="22"/>
        </w:rPr>
        <w:t xml:space="preserve">Al completar todas las ráfagas anteriores se dispone de un producto mínimo viable y desplegable. Es el momento de validar con uso real antes de abordar las fases 6 a 8.</w:t>
      </w:r>
    </w:p>
    <w:p>
      <w:pPr>
        <w:pStyle w:val="Heading1"/>
      </w:pPr>
      <w:r>
        <w:t xml:space="preserve">3. Encaje en el calendario</w:t>
      </w:r>
    </w:p>
    <w:p>
      <w:pPr>
        <w:pBdr>
          <w:bottom w:val="single" w:color="E2521D" w:sz="12" w:space="1"/>
        </w:pBdr>
        <w:spacing w:after="160" w:before="40"/>
      </w:pPr>
      <w:r>
        <w:t xml:space="preserve"/>
      </w:r>
    </w:p>
    <w:p>
      <w:pPr>
        <w:spacing w:after="140" w:line="276"/>
        <w:jc w:val="both"/>
      </w:pPr>
      <w:r>
        <w:t xml:space="preserve">El plan suma unas 30 ráfagas de trabajo limpio. En la práctica, varias tareas no caben en una sola ventana —el depurado de la búsqueda asíncrona o de los WebSockets puede desbordar a una segunda ráfaga—, por lo que conviene prever entre un 20 % y un 30 % adicional de sesiones por desbordes e imprevistos: en torno a 40 ráfagas reales.</w:t>
      </w:r>
    </w:p>
    <w:p>
      <w:pPr>
        <w:spacing w:after="140" w:line="276"/>
        <w:jc w:val="both"/>
      </w:pPr>
      <w:r>
        <w:t xml:space="preserve">A ritmo parcial realista (tres o cuatro días dedicados al proyecto por semana, con una ráfaga efectiva por día), salen entre tres y cuatro ráfagas semanales, es decir unas 10 a 13 semanas de ráfagas. Sumando la vida real, los bloqueos y el trabajo que no es código (crear las cuentas de los servicios externos, diseño, despliegue), el calendario realista hasta el MVP se sitúa entre 3 y 5 meses.</w:t>
      </w:r>
    </w:p>
    <w:p>
      <w:pPr>
        <w:spacing w:after="140" w:line="276"/>
        <w:jc w:val="both"/>
      </w:pPr>
      <w:r>
        <w:rPr>
          <w:b/>
          <w:bCs/>
        </w:rPr>
        <w:t xml:space="preserve">Recomendación: </w:t>
      </w:r>
      <w:r>
        <w:t xml:space="preserve">valida el modelo en las fases 0 y 1. Si esas primeras ráfagas cunden más o menos de lo previsto, reajusta el resto del calendario con tu ritmo real medido, que es la estimación más fiable.</w:t>
      </w:r>
    </w:p>
    <w:p>
      <w:pPr>
        <w:pStyle w:val="Heading1"/>
      </w:pPr>
      <w:r>
        <w:t xml:space="preserve">4. Reglas de oro para el plan Pro</w:t>
      </w:r>
    </w:p>
    <w:p>
      <w:pPr>
        <w:pBdr>
          <w:bottom w:val="single" w:color="E2521D" w:sz="12" w:space="1"/>
        </w:pBdr>
        <w:spacing w:after="160" w:before="40"/>
      </w:pPr>
      <w:r>
        <w:t xml:space="preserve"/>
      </w:r>
    </w:p>
    <w:p>
      <w:pPr>
        <w:spacing w:after="140" w:line="276"/>
        <w:jc w:val="both"/>
      </w:pPr>
      <w:r>
        <w:t xml:space="preserve">El límite de uso del plan Pro es un pool compartido entre Claude Code, el chat de Claude y Cowork, y funciona con una ventana móvil de cinco horas más un tope semanal. Estas tres reglas evitan que ese límite frene el avance: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Separa el uso de construcción del uso diario: </w:t>
      </w:r>
      <w:r>
        <w:t xml:space="preserve">reserva los días de desarrollo intensivo para cuando no necesites Claude en paralelo para la docencia o para Loudivision, ya que comparten el mismo límite y competirían entre sí.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Abre la ventana tarde: </w:t>
      </w:r>
      <w:r>
        <w:t xml:space="preserve">la ventana de cinco horas empieza con el primer prompt; si la abres a primera hora pero solo trabajas a mediodía, desperdicias parte de la asignación. Arranca la sesión cuando vayas a trabajar de verdad.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Para los sprints, refuerza puntualmente: </w:t>
      </w:r>
      <w:r>
        <w:t xml:space="preserve">si una semana necesitas varios días seguidos de trabajo intensivo (por ejemplo, para rematar la Fase 3), habilita créditos de uso o sube de forma temporal a Max 5x, y vuelve a Pro después. No hace falta Max permanente, solo para los picos.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5"/>
        <w:szCs w:val="15"/>
      </w:rPr>
      <w:t xml:space="preserve">Plan Pro · Claude Code · ráfagas de 5 h</w:t>
    </w:r>
    <w:r>
      <w:rPr>
        <w:color w:val="595959"/>
        <w:sz w:val="15"/>
        <w:szCs w:val="15"/>
      </w:rPr>
      <w:t xml:space="preserve">	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521D" w:sz="6" w:space="4"/>
      </w:pBdr>
      <w:tabs>
        <w:tab w:val="right" w:pos="9360"/>
      </w:tabs>
    </w:pPr>
    <w:r>
      <w:rPr>
        <w:b/>
        <w:bCs/>
        <w:color w:val="E2521D"/>
        <w:sz w:val="16"/>
        <w:szCs w:val="16"/>
      </w:rPr>
      <w:t xml:space="preserve">Hoja de ruta por ráfagas</w:t>
    </w:r>
    <w:r>
      <w:rPr>
        <w:color w:val="595959"/>
        <w:sz w:val="16"/>
        <w:szCs w:val="16"/>
      </w:rPr>
      <w:t xml:space="preserve">	Hasta el MVP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25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80"/>
      <w:outlineLvl w:val="0"/>
    </w:pPr>
    <w:rPr>
      <w:rFonts w:ascii="Arial" w:cs="Arial" w:eastAsia="Arial" w:hAnsi="Arial"/>
      <w:b/>
      <w:bCs/>
      <w:color w:val="A8390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por ráfagas — Plataforma de compraventa de segunda mano</dc:title>
  <dc:creator>Loudivision</dc:creator>
  <dc:description>Plan de sesiones hasta el MVP funcional</dc:description>
  <cp:lastModifiedBy>Un-named</cp:lastModifiedBy>
  <cp:revision>1</cp:revision>
  <dcterms:created xsi:type="dcterms:W3CDTF">2026-06-17T20:31:48.767Z</dcterms:created>
  <dcterms:modified xsi:type="dcterms:W3CDTF">2026-06-17T20:31:48.767Z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